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332F" w14:textId="77777777" w:rsidR="00641AB6" w:rsidRPr="00FB4AF5" w:rsidRDefault="00E038CD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FB4AF5">
        <w:rPr>
          <w:rFonts w:ascii="Arial" w:eastAsia="Arial" w:hAnsi="Arial" w:cs="Arial"/>
          <w:b/>
        </w:rPr>
        <w:t>SÚMULA DA 04ª REUNIÃO ORDINÁRIA CPUA-CAU/SC</w:t>
      </w:r>
    </w:p>
    <w:p w14:paraId="672A6659" w14:textId="77777777" w:rsidR="00641AB6" w:rsidRPr="00FB4AF5" w:rsidRDefault="00641AB6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907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3241"/>
        <w:gridCol w:w="1588"/>
        <w:gridCol w:w="2221"/>
      </w:tblGrid>
      <w:tr w:rsidR="00FB4AF5" w:rsidRPr="00FB4AF5" w14:paraId="41C5B346" w14:textId="77777777" w:rsidTr="00BA1A59">
        <w:tc>
          <w:tcPr>
            <w:tcW w:w="2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686A201D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FA6FD1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29/04/2022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1C094075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FD9612" w14:textId="5BDA3A08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 08h30 – 12h30</w:t>
            </w:r>
          </w:p>
        </w:tc>
      </w:tr>
      <w:tr w:rsidR="00FB4AF5" w:rsidRPr="00FB4AF5" w14:paraId="7A9617FC" w14:textId="77777777" w:rsidTr="00BA1A59">
        <w:tc>
          <w:tcPr>
            <w:tcW w:w="2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77CDB48F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LOCAL</w:t>
            </w:r>
          </w:p>
        </w:tc>
        <w:tc>
          <w:tcPr>
            <w:tcW w:w="705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17D011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Reunião Virtual</w:t>
            </w:r>
          </w:p>
        </w:tc>
      </w:tr>
    </w:tbl>
    <w:p w14:paraId="0A37501D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2634"/>
        <w:gridCol w:w="1281"/>
        <w:gridCol w:w="1183"/>
      </w:tblGrid>
      <w:tr w:rsidR="00FB4AF5" w:rsidRPr="00FB4AF5" w14:paraId="61FAB6C4" w14:textId="77777777" w:rsidTr="00F67839">
        <w:trPr>
          <w:trHeight w:val="1"/>
        </w:trPr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96D80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Membros presentes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F7DC511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3C7868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  <w:b/>
              </w:rPr>
              <w:t>Horário saída</w:t>
            </w:r>
          </w:p>
        </w:tc>
      </w:tr>
      <w:tr w:rsidR="00FB4AF5" w:rsidRPr="00FB4AF5" w14:paraId="6CE37D3A" w14:textId="77777777" w:rsidTr="00F67839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83F42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Rodrigo Althoff Medeiros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A9122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Coordenador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A017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</w:rPr>
              <w:t>10h15min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D8078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</w:rPr>
              <w:t>11h17min</w:t>
            </w:r>
          </w:p>
        </w:tc>
      </w:tr>
      <w:tr w:rsidR="00FB4AF5" w:rsidRPr="00FB4AF5" w14:paraId="51583418" w14:textId="77777777" w:rsidTr="00F67839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766E4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Silvana Maria Hall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EDAD2" w14:textId="50B6F880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Membro</w:t>
            </w:r>
            <w:r w:rsidR="004809BF">
              <w:rPr>
                <w:rFonts w:ascii="Arial" w:eastAsia="Arial" w:hAnsi="Arial" w:cs="Arial"/>
              </w:rPr>
              <w:t xml:space="preserve"> suplente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2447E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</w:rPr>
              <w:t>9h15min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5B38F8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</w:rPr>
              <w:t>11h17min</w:t>
            </w:r>
          </w:p>
        </w:tc>
      </w:tr>
      <w:tr w:rsidR="00FB4AF5" w:rsidRPr="00FB4AF5" w14:paraId="40072EC8" w14:textId="77777777" w:rsidTr="00F67839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F1753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Douglas Goulart Virgílio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43C15" w14:textId="2CB9C8DF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Membro</w:t>
            </w:r>
            <w:r w:rsidR="004809BF">
              <w:rPr>
                <w:rFonts w:ascii="Arial" w:eastAsia="Arial" w:hAnsi="Arial" w:cs="Arial"/>
              </w:rPr>
              <w:t xml:space="preserve"> suplente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2DF74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</w:rPr>
              <w:t>9h15min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DA135" w14:textId="77777777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</w:rPr>
              <w:t>11h17min</w:t>
            </w:r>
          </w:p>
        </w:tc>
      </w:tr>
    </w:tbl>
    <w:p w14:paraId="5DAB6C7B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7195"/>
      </w:tblGrid>
      <w:tr w:rsidR="00FB4AF5" w:rsidRPr="00FB4AF5" w14:paraId="5A58BBC8" w14:textId="77777777" w:rsidTr="00F67839">
        <w:trPr>
          <w:trHeight w:val="1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0B6D5D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ASSESSORIA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5C079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Amanda Cristina Padova</w:t>
            </w:r>
          </w:p>
        </w:tc>
      </w:tr>
      <w:tr w:rsidR="00FB4AF5" w:rsidRPr="00FB4AF5" w14:paraId="1F7A791B" w14:textId="77777777" w:rsidTr="00F67839">
        <w:trPr>
          <w:trHeight w:val="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2EB378F" w14:textId="77777777" w:rsidR="00641AB6" w:rsidRPr="00FB4AF5" w:rsidRDefault="00641A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EA23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Pery Roberto Segala Medeiros</w:t>
            </w:r>
          </w:p>
        </w:tc>
      </w:tr>
    </w:tbl>
    <w:p w14:paraId="5A39BBE3" w14:textId="2EA737E4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FB4AF5" w:rsidRPr="00FB4AF5" w14:paraId="2BE0996D" w14:textId="77777777">
        <w:tc>
          <w:tcPr>
            <w:tcW w:w="9072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135A5CD0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Ausências Justificadas</w:t>
            </w:r>
          </w:p>
        </w:tc>
      </w:tr>
      <w:tr w:rsidR="00FB4AF5" w:rsidRPr="00FB4AF5" w14:paraId="252D4B8E" w14:textId="77777777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5400A76F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E5B25E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Janete Sueli Krueger</w:t>
            </w:r>
          </w:p>
        </w:tc>
      </w:tr>
      <w:tr w:rsidR="00FB4AF5" w:rsidRPr="00FB4AF5" w14:paraId="59F63DD9" w14:textId="77777777"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56C002D2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0D7930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Motivo profissional</w:t>
            </w:r>
          </w:p>
        </w:tc>
      </w:tr>
    </w:tbl>
    <w:p w14:paraId="41C8F396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70AD47" w:themeColor="accent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FB4AF5" w:rsidRPr="00FB4AF5" w14:paraId="7929E842" w14:textId="77777777" w:rsidTr="00BA1A59">
        <w:tc>
          <w:tcPr>
            <w:tcW w:w="9072" w:type="dxa"/>
            <w:gridSpan w:val="2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6E4E1EAC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Ausências Justificadas</w:t>
            </w:r>
          </w:p>
        </w:tc>
      </w:tr>
      <w:tr w:rsidR="00FB4AF5" w:rsidRPr="00FB4AF5" w14:paraId="33211945" w14:textId="77777777" w:rsidTr="00BA1A59">
        <w:tc>
          <w:tcPr>
            <w:tcW w:w="1985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F9AE8A0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Conselheiro</w:t>
            </w:r>
          </w:p>
        </w:tc>
        <w:tc>
          <w:tcPr>
            <w:tcW w:w="70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88CE7B" w14:textId="1B3EC2B3" w:rsidR="00641AB6" w:rsidRPr="00FB4AF5" w:rsidRDefault="19664590" w:rsidP="196645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Maurício André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Giusti</w:t>
            </w:r>
            <w:proofErr w:type="spellEnd"/>
          </w:p>
        </w:tc>
      </w:tr>
      <w:tr w:rsidR="00FB4AF5" w:rsidRPr="00FB4AF5" w14:paraId="77E84CC9" w14:textId="77777777" w:rsidTr="00BA1A59">
        <w:tc>
          <w:tcPr>
            <w:tcW w:w="1985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BFE6618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Justificativa</w:t>
            </w:r>
          </w:p>
        </w:tc>
        <w:tc>
          <w:tcPr>
            <w:tcW w:w="70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B3E9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Motivo pessoal</w:t>
            </w:r>
          </w:p>
        </w:tc>
      </w:tr>
    </w:tbl>
    <w:p w14:paraId="248BD47B" w14:textId="74E21EA5" w:rsidR="00F67839" w:rsidRPr="00FB4AF5" w:rsidRDefault="00F67839">
      <w:pPr>
        <w:spacing w:after="0" w:line="240" w:lineRule="auto"/>
        <w:rPr>
          <w:rFonts w:ascii="Arial" w:eastAsia="Arial" w:hAnsi="Arial" w:cs="Arial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B4AF5" w:rsidRPr="00FB4AF5" w14:paraId="45DD523C" w14:textId="77777777" w:rsidTr="00F6783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607AAB" w14:textId="0B9C0A78" w:rsidR="00641AB6" w:rsidRPr="00FB4AF5" w:rsidRDefault="00E038CD">
            <w:pPr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  <w:b/>
              </w:rPr>
              <w:t xml:space="preserve">Leitura e aprovação das Súmulas da </w:t>
            </w:r>
            <w:r w:rsidR="00AC4935">
              <w:rPr>
                <w:rFonts w:ascii="Arial" w:eastAsia="Arial" w:hAnsi="Arial" w:cs="Arial"/>
                <w:b/>
              </w:rPr>
              <w:t>3</w:t>
            </w:r>
            <w:r w:rsidRPr="00FB4AF5">
              <w:rPr>
                <w:rFonts w:ascii="Arial" w:eastAsia="Arial" w:hAnsi="Arial" w:cs="Arial"/>
                <w:b/>
              </w:rPr>
              <w:t>ª Reunião Ordinária</w:t>
            </w:r>
          </w:p>
        </w:tc>
      </w:tr>
    </w:tbl>
    <w:p w14:paraId="0E27B00A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098"/>
      </w:tblGrid>
      <w:tr w:rsidR="00FB4AF5" w:rsidRPr="00FB4AF5" w14:paraId="7163F282" w14:textId="77777777">
        <w:tc>
          <w:tcPr>
            <w:tcW w:w="1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2EF1C7DE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BEAEAA" w14:textId="77777777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</w:rPr>
              <w:t>Foi aprovada a súmula da 3ª Reunião Ordinária pelos conselheiros presentes e encaminhada para publicação.</w:t>
            </w:r>
          </w:p>
        </w:tc>
      </w:tr>
    </w:tbl>
    <w:p w14:paraId="60061E4C" w14:textId="77777777" w:rsidR="00641AB6" w:rsidRPr="00FB4AF5" w:rsidRDefault="00641AB6">
      <w:pPr>
        <w:suppressLineNumbers/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B4AF5" w:rsidRPr="00FB4AF5" w14:paraId="4CCFA519" w14:textId="77777777" w:rsidTr="00BA1A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888150" w14:textId="77777777" w:rsidR="00641AB6" w:rsidRPr="00FB4AF5" w:rsidRDefault="00E038CD">
            <w:pPr>
              <w:suppressLineNumbers/>
              <w:tabs>
                <w:tab w:val="left" w:pos="0"/>
              </w:tabs>
              <w:spacing w:after="0" w:line="240" w:lineRule="auto"/>
              <w:jc w:val="center"/>
            </w:pPr>
            <w:r w:rsidRPr="00FB4AF5">
              <w:rPr>
                <w:rFonts w:ascii="Arial" w:eastAsia="Arial" w:hAnsi="Arial" w:cs="Arial"/>
                <w:b/>
              </w:rPr>
              <w:t>Comunicação</w:t>
            </w:r>
          </w:p>
        </w:tc>
      </w:tr>
    </w:tbl>
    <w:p w14:paraId="4B94D5A5" w14:textId="0F50C5A5" w:rsidR="00641AB6" w:rsidRPr="00FB4AF5" w:rsidRDefault="00641AB6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7096"/>
      </w:tblGrid>
      <w:tr w:rsidR="00FB4AF5" w:rsidRPr="00FB4AF5" w14:paraId="06DAB1AC" w14:textId="77777777" w:rsidTr="00BA1A59">
        <w:tc>
          <w:tcPr>
            <w:tcW w:w="19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100C5B58" w14:textId="77777777" w:rsidR="00641AB6" w:rsidRPr="00FB4AF5" w:rsidRDefault="00E038C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B4AF5">
              <w:rPr>
                <w:rFonts w:ascii="Arial" w:eastAsia="Arial" w:hAnsi="Arial" w:cs="Arial"/>
                <w:b/>
              </w:rPr>
              <w:t xml:space="preserve"> </w:t>
            </w:r>
          </w:p>
          <w:p w14:paraId="397D9636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Responsável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F51536" w14:textId="77777777" w:rsidR="00641AB6" w:rsidRPr="00FB4AF5" w:rsidRDefault="00E038CD">
            <w:pPr>
              <w:spacing w:after="0" w:line="240" w:lineRule="auto"/>
              <w:ind w:right="-72"/>
            </w:pPr>
            <w:r w:rsidRPr="00FB4AF5">
              <w:rPr>
                <w:rFonts w:ascii="Arial" w:eastAsia="Arial" w:hAnsi="Arial" w:cs="Arial"/>
                <w:b/>
              </w:rPr>
              <w:t xml:space="preserve">Conselheiro Douglas Goulart </w:t>
            </w:r>
            <w:proofErr w:type="spellStart"/>
            <w:r w:rsidRPr="00FB4AF5">
              <w:rPr>
                <w:rFonts w:ascii="Arial" w:eastAsia="Arial" w:hAnsi="Arial" w:cs="Arial"/>
                <w:b/>
              </w:rPr>
              <w:t>Virgilio</w:t>
            </w:r>
            <w:proofErr w:type="spellEnd"/>
          </w:p>
        </w:tc>
      </w:tr>
      <w:tr w:rsidR="00FB4AF5" w:rsidRPr="00FB4AF5" w14:paraId="1022CF52" w14:textId="77777777" w:rsidTr="00BA1A59">
        <w:tc>
          <w:tcPr>
            <w:tcW w:w="19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24356A7A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Comunicado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44712C" w14:textId="1157A0C9" w:rsidR="00641AB6" w:rsidRPr="00FB4AF5" w:rsidRDefault="00E038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- Comunica a sua participação na reunião acerca do Plano Diretor, que ocorreu na terça-feira, dia 26 de abril, às 14 horas, na Prefeitura de São José. Relata que a reunião foi breve e que o Secretário fez uma curta explanação sobre o que consolida um Plano Diretor participativo, além disso, também trouxe que o Plano </w:t>
            </w:r>
            <w:r w:rsidR="0008422F" w:rsidRPr="00FB4AF5">
              <w:rPr>
                <w:rFonts w:ascii="Arial" w:eastAsia="Arial" w:hAnsi="Arial" w:cs="Arial"/>
              </w:rPr>
              <w:t xml:space="preserve">Diretor </w:t>
            </w:r>
            <w:r w:rsidRPr="00FB4AF5">
              <w:rPr>
                <w:rFonts w:ascii="Arial" w:eastAsia="Arial" w:hAnsi="Arial" w:cs="Arial"/>
              </w:rPr>
              <w:t xml:space="preserve">já está em andamento, porém aberto para consulta pública até 18 de maio. </w:t>
            </w:r>
          </w:p>
          <w:p w14:paraId="1617629C" w14:textId="153ACDB6" w:rsidR="00641AB6" w:rsidRPr="00FB4AF5" w:rsidRDefault="0008422F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</w:rPr>
              <w:t xml:space="preserve">O Conselheiro </w:t>
            </w:r>
            <w:r w:rsidR="00E038CD" w:rsidRPr="00FB4AF5">
              <w:rPr>
                <w:rFonts w:ascii="Arial" w:eastAsia="Arial" w:hAnsi="Arial" w:cs="Arial"/>
              </w:rPr>
              <w:t xml:space="preserve">Douglas </w:t>
            </w:r>
            <w:r w:rsidR="00AD346C" w:rsidRPr="00FB4AF5">
              <w:rPr>
                <w:rFonts w:ascii="Arial" w:eastAsia="Arial" w:hAnsi="Arial" w:cs="Arial"/>
              </w:rPr>
              <w:t xml:space="preserve">sugeriu que os representantes regionais, nos conselhos das cidades, realizem suas respectivas participações levando em consideração o posicionamento do Conselho de Arquitetura e Urbanismo de Santa Catarina para além das questões pessoais. </w:t>
            </w:r>
          </w:p>
        </w:tc>
      </w:tr>
    </w:tbl>
    <w:p w14:paraId="049F31CB" w14:textId="66CDB4D3" w:rsidR="00641AB6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809BF" w:rsidRPr="00A7279D" w14:paraId="634989BD" w14:textId="77777777" w:rsidTr="004809BF">
        <w:trPr>
          <w:trHeight w:hRule="exact" w:val="355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F36A80" w14:textId="77777777" w:rsidR="004809BF" w:rsidRPr="00A7279D" w:rsidRDefault="004809BF" w:rsidP="004931F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6959689A" w14:textId="77777777" w:rsidR="00BA1A59" w:rsidRPr="00FB4AF5" w:rsidRDefault="00BA1A59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091"/>
      </w:tblGrid>
      <w:tr w:rsidR="00FB4AF5" w:rsidRPr="00FB4AF5" w14:paraId="124666F8" w14:textId="77777777">
        <w:tc>
          <w:tcPr>
            <w:tcW w:w="1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649841BE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EB63A4" w14:textId="77777777" w:rsidR="00641AB6" w:rsidRPr="00FB4AF5" w:rsidRDefault="00E038C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FB4AF5">
              <w:rPr>
                <w:rFonts w:ascii="Arial" w:eastAsia="Arial" w:hAnsi="Arial" w:cs="Arial"/>
                <w:b/>
              </w:rPr>
              <w:t>Representações regionais do CAU/SC:</w:t>
            </w:r>
          </w:p>
          <w:p w14:paraId="14B296AC" w14:textId="18BD2734" w:rsidR="00641AB6" w:rsidRPr="00FB4AF5" w:rsidRDefault="004809BF" w:rsidP="004809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- </w:t>
            </w:r>
            <w:r w:rsidR="00E038CD" w:rsidRPr="00FB4AF5">
              <w:rPr>
                <w:rFonts w:ascii="Arial" w:eastAsia="Arial" w:hAnsi="Arial" w:cs="Arial"/>
                <w:b/>
              </w:rPr>
              <w:t>Indicações de representantes regionais do CAU/SC;</w:t>
            </w:r>
          </w:p>
          <w:p w14:paraId="26D65320" w14:textId="6E9DAC7E" w:rsidR="00641AB6" w:rsidRPr="00FB4AF5" w:rsidRDefault="004809BF" w:rsidP="004809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 - </w:t>
            </w:r>
            <w:r w:rsidR="00E038CD" w:rsidRPr="00FB4AF5">
              <w:rPr>
                <w:rFonts w:ascii="Arial" w:eastAsia="Arial" w:hAnsi="Arial" w:cs="Arial"/>
                <w:b/>
              </w:rPr>
              <w:t>Relato ou correspondência sobre as representações regionais;</w:t>
            </w:r>
          </w:p>
        </w:tc>
      </w:tr>
      <w:tr w:rsidR="00FB4AF5" w:rsidRPr="00FB4AF5" w14:paraId="0E666463" w14:textId="77777777"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78DA4C2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D51D36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CPUA/CAU-SC</w:t>
            </w:r>
          </w:p>
        </w:tc>
      </w:tr>
      <w:tr w:rsidR="00FB4AF5" w:rsidRPr="00FB4AF5" w14:paraId="566E40EE" w14:textId="77777777"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054676E5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15D2D0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Coordenador Rodrigo Althoff</w:t>
            </w:r>
          </w:p>
        </w:tc>
      </w:tr>
      <w:tr w:rsidR="00FB4AF5" w:rsidRPr="00FB4AF5" w14:paraId="3C13C606" w14:textId="77777777">
        <w:tc>
          <w:tcPr>
            <w:tcW w:w="197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2D56C30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F18B3A" w14:textId="442F1170" w:rsidR="00641AB6" w:rsidRPr="00FB4AF5" w:rsidRDefault="00E038CD" w:rsidP="004809BF">
            <w:pPr>
              <w:spacing w:after="0" w:line="240" w:lineRule="auto"/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>Por meio da Deliberação nº 13 de 2022 da CPUA ficou definido pela comissão a representação do CAU/SC no Conselho Municipal de Habitação de Interesse Social – CMHIS Araquari;</w:t>
            </w:r>
          </w:p>
          <w:p w14:paraId="7851232E" w14:textId="77777777" w:rsidR="00641AB6" w:rsidRPr="00FB4AF5" w:rsidRDefault="00E038CD" w:rsidP="004809BF">
            <w:pPr>
              <w:spacing w:after="0" w:line="240" w:lineRule="auto"/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>Por meio da Deliberação nº 14 de 2022 da CPUA ficou definido pela comissão a representação do CAU/SC no Comitê Executivo do Plano Municipal de Saneamento do Município de Balneário Camboriú (CEPMS);</w:t>
            </w:r>
          </w:p>
          <w:p w14:paraId="7D2AFAB8" w14:textId="77777777" w:rsidR="00641AB6" w:rsidRPr="00FB4AF5" w:rsidRDefault="00E038CD" w:rsidP="004809BF">
            <w:pPr>
              <w:spacing w:after="0" w:line="240" w:lineRule="auto"/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>Por meio da Deliberação nº 15 de 2022 da CPUA ficou definido pela comissão a representação do CAU/SC no</w:t>
            </w:r>
            <w:r w:rsidRPr="00FB4AF5">
              <w:rPr>
                <w:rFonts w:ascii="Arial" w:eastAsia="Arial" w:hAnsi="Arial" w:cs="Arial"/>
                <w:shd w:val="clear" w:color="auto" w:fill="EAD1DC"/>
              </w:rPr>
              <w:t xml:space="preserve"> </w:t>
            </w:r>
            <w:r w:rsidRPr="00FB4AF5">
              <w:rPr>
                <w:rFonts w:ascii="Arial" w:eastAsia="Arial" w:hAnsi="Arial" w:cs="Arial"/>
                <w:shd w:val="clear" w:color="auto" w:fill="FFFFFF"/>
              </w:rPr>
              <w:t>Conferência Municipal Extraordinária da Cidade de Joinville</w:t>
            </w:r>
          </w:p>
          <w:p w14:paraId="53128261" w14:textId="39313C67" w:rsidR="00641AB6" w:rsidRPr="008135F6" w:rsidRDefault="00E038CD" w:rsidP="004809BF">
            <w:pPr>
              <w:spacing w:after="0" w:line="240" w:lineRule="auto"/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>CMD Sustentável;</w:t>
            </w:r>
          </w:p>
        </w:tc>
      </w:tr>
      <w:tr w:rsidR="00FB4AF5" w:rsidRPr="00FB4AF5" w14:paraId="0C3F6FD8" w14:textId="77777777">
        <w:tc>
          <w:tcPr>
            <w:tcW w:w="197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62486C05" w14:textId="77777777" w:rsidR="00641AB6" w:rsidRPr="00FB4AF5" w:rsidRDefault="00641A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6C6BEC" w14:textId="77777777" w:rsidR="00641AB6" w:rsidRPr="00FB4AF5" w:rsidRDefault="00E038CD" w:rsidP="004809BF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Foram lidos, pela comissão, os relatórios enviados pelos Representantes: Newton Marçal, no Conselho Estadual de Segurança Contra Incêndio (CESIP) de Florianópolis, Angelina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Wittmann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, do Conselho de Preservação do Patrimônio Edificado de Blumenau (COPE), Tamires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Jordyn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Stedile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Bononomi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, no 1º Núcleo de Debates Permanente para o Plano Diretor de Brusque/SC, Danilo Alves Milhome do COMDEMA de Florianópolis,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Rael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 Belli do COPLAN de Blumenau e Ruben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Benedicto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  <w:proofErr w:type="spellStart"/>
            <w:r w:rsidRPr="00FB4AF5">
              <w:rPr>
                <w:rFonts w:ascii="Arial" w:eastAsia="Arial" w:hAnsi="Arial" w:cs="Arial"/>
                <w:shd w:val="clear" w:color="auto" w:fill="FFFFFF"/>
              </w:rPr>
              <w:t>Pereyra</w:t>
            </w:r>
            <w:proofErr w:type="spellEnd"/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 do CONCIDADE de São Bento do Sul.</w:t>
            </w:r>
          </w:p>
        </w:tc>
      </w:tr>
    </w:tbl>
    <w:p w14:paraId="4101652C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7053"/>
      </w:tblGrid>
      <w:tr w:rsidR="00FB4AF5" w:rsidRPr="00FB4AF5" w14:paraId="69234875" w14:textId="77777777">
        <w:tc>
          <w:tcPr>
            <w:tcW w:w="20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18F999B5" w14:textId="35E73A86" w:rsidR="00641AB6" w:rsidRPr="00FB4AF5" w:rsidRDefault="00E038CD" w:rsidP="004809BF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 xml:space="preserve"> </w:t>
            </w:r>
            <w:r w:rsidRPr="00FB4AF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80B811" w14:textId="77777777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b/>
              </w:rPr>
              <w:t>Parceria com a UFSC - Plataforma Ecossistemas das Cidades.</w:t>
            </w:r>
          </w:p>
        </w:tc>
      </w:tr>
      <w:tr w:rsidR="00FB4AF5" w:rsidRPr="00FB4AF5" w14:paraId="00F0BC7B" w14:textId="77777777">
        <w:tc>
          <w:tcPr>
            <w:tcW w:w="2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165CCA8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06F060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Presidência CAU/SC</w:t>
            </w:r>
          </w:p>
        </w:tc>
      </w:tr>
      <w:tr w:rsidR="00FB4AF5" w:rsidRPr="00FB4AF5" w14:paraId="76746FC3" w14:textId="77777777">
        <w:tc>
          <w:tcPr>
            <w:tcW w:w="2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3CD489E6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69D844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Coordenador Rodrigo Althoff</w:t>
            </w:r>
          </w:p>
        </w:tc>
      </w:tr>
      <w:tr w:rsidR="00FB4AF5" w:rsidRPr="00FB4AF5" w14:paraId="64E61175" w14:textId="77777777">
        <w:tc>
          <w:tcPr>
            <w:tcW w:w="2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189ECD78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FBABA2" w14:textId="358E708A" w:rsidR="00641AB6" w:rsidRPr="00FB4AF5" w:rsidRDefault="00AD346C">
            <w:pPr>
              <w:spacing w:after="0" w:line="240" w:lineRule="auto"/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O assessor </w:t>
            </w:r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>Pery</w:t>
            </w:r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 Segala</w:t>
            </w:r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 xml:space="preserve"> relata como foi a reunião com o Professor </w:t>
            </w:r>
            <w:proofErr w:type="spellStart"/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>Kós</w:t>
            </w:r>
            <w:proofErr w:type="spellEnd"/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 xml:space="preserve">, após o parecer jurídico debatido na última reunião da CPUA. Após apresentada a dificuldade de viabilização do projeto, foram debatidas algumas sugestões para que o CAU continue </w:t>
            </w:r>
            <w:r w:rsidRPr="00FB4AF5">
              <w:rPr>
                <w:rFonts w:ascii="Arial" w:eastAsia="Arial" w:hAnsi="Arial" w:cs="Arial"/>
                <w:shd w:val="clear" w:color="auto" w:fill="FFFFFF"/>
              </w:rPr>
              <w:t>apoiando</w:t>
            </w:r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 xml:space="preserve"> o projeto através do auxílio financeiro destinado, já que a verba foi aprovada pela CPUA. Após alguns dias, o Professor </w:t>
            </w:r>
            <w:proofErr w:type="spellStart"/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>Kós</w:t>
            </w:r>
            <w:proofErr w:type="spellEnd"/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 xml:space="preserve"> retornou </w:t>
            </w:r>
            <w:r w:rsidR="004D2464" w:rsidRPr="00FB4AF5">
              <w:rPr>
                <w:rFonts w:ascii="Arial" w:eastAsia="Arial" w:hAnsi="Arial" w:cs="Arial"/>
                <w:shd w:val="clear" w:color="auto" w:fill="FFFFFF"/>
              </w:rPr>
              <w:t xml:space="preserve">o contato informando </w:t>
            </w:r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>que dará continuidade na Pesquisa e que irá apresentar um novo modelo para utilização do auxílio financeiro, não mais vinculado ao pagamento de bolsas, mas em outras atividades que serão desenvolvidas no projeto de pesquisa (divulgação e fomento de informações do produto final).</w:t>
            </w:r>
          </w:p>
          <w:p w14:paraId="298CF58C" w14:textId="66C49B6A" w:rsidR="00641AB6" w:rsidRPr="00FB4AF5" w:rsidRDefault="004D2464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shd w:val="clear" w:color="auto" w:fill="FFFFFF"/>
              </w:rPr>
              <w:t xml:space="preserve">A conselheira </w:t>
            </w:r>
            <w:r w:rsidR="00E038CD" w:rsidRPr="00FB4AF5">
              <w:rPr>
                <w:rFonts w:ascii="Arial" w:eastAsia="Arial" w:hAnsi="Arial" w:cs="Arial"/>
                <w:shd w:val="clear" w:color="auto" w:fill="FFFFFF"/>
              </w:rPr>
              <w:t>Silvana se mostra feliz com o parecer e espera que a verba aprovada seja destinada na divulgação dos resultados da pesquisa.</w:t>
            </w:r>
          </w:p>
        </w:tc>
      </w:tr>
    </w:tbl>
    <w:p w14:paraId="4B99056E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098"/>
      </w:tblGrid>
      <w:tr w:rsidR="00FB4AF5" w:rsidRPr="00FB4AF5" w14:paraId="303CA0C0" w14:textId="77777777" w:rsidTr="00F6783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276700F" w14:textId="6F3C936E" w:rsidR="00641AB6" w:rsidRDefault="00E038C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B4AF5">
              <w:rPr>
                <w:rFonts w:ascii="Arial" w:eastAsia="Arial" w:hAnsi="Arial" w:cs="Arial"/>
              </w:rPr>
              <w:t xml:space="preserve"> </w:t>
            </w:r>
            <w:r w:rsidRPr="00FB4AF5">
              <w:rPr>
                <w:rFonts w:ascii="Arial" w:eastAsia="Arial" w:hAnsi="Arial" w:cs="Arial"/>
                <w:b/>
              </w:rPr>
              <w:t>3</w:t>
            </w:r>
          </w:p>
          <w:p w14:paraId="5FCD5EC4" w14:textId="15E6CDEB" w:rsidR="004809BF" w:rsidRPr="00FB4AF5" w:rsidRDefault="004809BF">
            <w:pPr>
              <w:spacing w:after="0" w:line="240" w:lineRule="auto"/>
            </w:pP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C2D5D5" w14:textId="77777777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b/>
              </w:rPr>
              <w:t>Projetos CPUA CAUSC 2022: Detalhamento; planos de trabalho; integração com 3º Congresso de Arquitetura e Urbanismo de SC</w:t>
            </w:r>
          </w:p>
        </w:tc>
      </w:tr>
      <w:tr w:rsidR="00FB4AF5" w:rsidRPr="00FB4AF5" w14:paraId="2DEF0343" w14:textId="77777777" w:rsidTr="00F6783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FFB4C46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E1DF24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Presidência CAU/SC</w:t>
            </w:r>
          </w:p>
        </w:tc>
      </w:tr>
      <w:tr w:rsidR="00FB4AF5" w:rsidRPr="00FB4AF5" w14:paraId="19618A6A" w14:textId="77777777" w:rsidTr="00F6783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54E33123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Relator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2022BE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Coordenador Rodrigo Althoff</w:t>
            </w:r>
          </w:p>
        </w:tc>
      </w:tr>
      <w:tr w:rsidR="00FB4AF5" w:rsidRPr="00FB4AF5" w14:paraId="44E0FD50" w14:textId="77777777" w:rsidTr="00F6783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3F8FD85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E0B42C" w14:textId="77777777" w:rsidR="00641AB6" w:rsidRPr="00FB4AF5" w:rsidRDefault="19664590" w:rsidP="196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4AF5">
              <w:rPr>
                <w:rFonts w:ascii="Arial" w:eastAsia="Arial" w:hAnsi="Arial" w:cs="Arial"/>
              </w:rPr>
              <w:t xml:space="preserve">Os projetos continuam em tramitação, visando os investimentos aprovados pela Comissão em cada estudo específico. </w:t>
            </w:r>
          </w:p>
          <w:p w14:paraId="37633013" w14:textId="0E9E407F" w:rsidR="00641AB6" w:rsidRPr="00FB4AF5" w:rsidRDefault="004D2464" w:rsidP="19664590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</w:rPr>
              <w:t xml:space="preserve">A conselheira </w:t>
            </w:r>
            <w:r w:rsidR="19664590" w:rsidRPr="00FB4AF5">
              <w:rPr>
                <w:rFonts w:ascii="Arial" w:eastAsia="Arial" w:hAnsi="Arial" w:cs="Arial"/>
              </w:rPr>
              <w:t xml:space="preserve">Silvana pergunta se há nenhum recurso </w:t>
            </w:r>
            <w:r w:rsidRPr="00FB4AF5">
              <w:rPr>
                <w:rFonts w:ascii="Arial" w:eastAsia="Arial" w:hAnsi="Arial" w:cs="Arial"/>
              </w:rPr>
              <w:t xml:space="preserve">novo </w:t>
            </w:r>
            <w:r w:rsidR="19664590" w:rsidRPr="00FB4AF5">
              <w:rPr>
                <w:rFonts w:ascii="Arial" w:eastAsia="Arial" w:hAnsi="Arial" w:cs="Arial"/>
              </w:rPr>
              <w:t>para ser viabilizado neste ano</w:t>
            </w:r>
            <w:r w:rsidRPr="00FB4AF5">
              <w:rPr>
                <w:rFonts w:ascii="Arial" w:eastAsia="Arial" w:hAnsi="Arial" w:cs="Arial"/>
              </w:rPr>
              <w:t>?</w:t>
            </w:r>
            <w:r w:rsidR="19664590" w:rsidRPr="00FB4AF5">
              <w:rPr>
                <w:rFonts w:ascii="Arial" w:eastAsia="Arial" w:hAnsi="Arial" w:cs="Arial"/>
              </w:rPr>
              <w:t xml:space="preserve"> </w:t>
            </w:r>
            <w:r w:rsidRPr="00FB4AF5">
              <w:rPr>
                <w:rFonts w:ascii="Arial" w:eastAsia="Arial" w:hAnsi="Arial" w:cs="Arial"/>
              </w:rPr>
              <w:t xml:space="preserve">A assessoria </w:t>
            </w:r>
            <w:r w:rsidR="19664590" w:rsidRPr="00FB4AF5">
              <w:rPr>
                <w:rFonts w:ascii="Arial" w:eastAsia="Arial" w:hAnsi="Arial" w:cs="Arial"/>
              </w:rPr>
              <w:t xml:space="preserve">explica que </w:t>
            </w:r>
            <w:r w:rsidRPr="00FB4AF5">
              <w:rPr>
                <w:rFonts w:ascii="Arial" w:eastAsia="Arial" w:hAnsi="Arial" w:cs="Arial"/>
              </w:rPr>
              <w:t xml:space="preserve">através das reuniões de comissões, acontece a análise, planejamento e desenvolvimento dos planos de trabalho com o objetivo de realizar os projetos </w:t>
            </w:r>
            <w:r w:rsidRPr="00FB4AF5">
              <w:rPr>
                <w:rFonts w:ascii="Arial" w:eastAsia="Arial" w:hAnsi="Arial" w:cs="Arial"/>
              </w:rPr>
              <w:lastRenderedPageBreak/>
              <w:t xml:space="preserve">aprovados no ano anterior. As comissões podem reavaliar os projetos aprovados, propondo </w:t>
            </w:r>
            <w:r w:rsidR="19664590" w:rsidRPr="00FB4AF5">
              <w:rPr>
                <w:rFonts w:ascii="Arial" w:eastAsia="Arial" w:hAnsi="Arial" w:cs="Arial"/>
              </w:rPr>
              <w:t>se é necessário</w:t>
            </w:r>
            <w:r w:rsidRPr="00FB4AF5">
              <w:rPr>
                <w:rFonts w:ascii="Arial" w:eastAsia="Arial" w:hAnsi="Arial" w:cs="Arial"/>
              </w:rPr>
              <w:t>,</w:t>
            </w:r>
            <w:r w:rsidR="19664590" w:rsidRPr="00FB4AF5">
              <w:rPr>
                <w:rFonts w:ascii="Arial" w:eastAsia="Arial" w:hAnsi="Arial" w:cs="Arial"/>
              </w:rPr>
              <w:t xml:space="preserve"> que os </w:t>
            </w:r>
            <w:r w:rsidRPr="00FB4AF5">
              <w:rPr>
                <w:rFonts w:ascii="Arial" w:eastAsia="Arial" w:hAnsi="Arial" w:cs="Arial"/>
              </w:rPr>
              <w:t>mesmos</w:t>
            </w:r>
            <w:r w:rsidR="19664590" w:rsidRPr="00FB4AF5">
              <w:rPr>
                <w:rFonts w:ascii="Arial" w:eastAsia="Arial" w:hAnsi="Arial" w:cs="Arial"/>
              </w:rPr>
              <w:t xml:space="preserve"> continuem</w:t>
            </w:r>
            <w:r w:rsidRPr="00FB4AF5">
              <w:rPr>
                <w:rFonts w:ascii="Arial" w:eastAsia="Arial" w:hAnsi="Arial" w:cs="Arial"/>
              </w:rPr>
              <w:t>,</w:t>
            </w:r>
            <w:r w:rsidR="19664590" w:rsidRPr="00FB4AF5">
              <w:rPr>
                <w:rFonts w:ascii="Arial" w:eastAsia="Arial" w:hAnsi="Arial" w:cs="Arial"/>
              </w:rPr>
              <w:t xml:space="preserve"> ou</w:t>
            </w:r>
            <w:r w:rsidR="00D92130" w:rsidRPr="00FB4AF5">
              <w:rPr>
                <w:rFonts w:ascii="Arial" w:eastAsia="Arial" w:hAnsi="Arial" w:cs="Arial"/>
              </w:rPr>
              <w:t xml:space="preserve"> avaliar</w:t>
            </w:r>
            <w:r w:rsidR="19664590" w:rsidRPr="00FB4AF5">
              <w:rPr>
                <w:rFonts w:ascii="Arial" w:eastAsia="Arial" w:hAnsi="Arial" w:cs="Arial"/>
              </w:rPr>
              <w:t xml:space="preserve"> se existem novos projetos para serem vinculados aos investimentos. Também explica que, geralmente, os projetos elencados em um ano, se tornam realmente efetivos apenas no ano seguinte, devido ao </w:t>
            </w:r>
            <w:r w:rsidR="00D92130" w:rsidRPr="00FB4AF5">
              <w:rPr>
                <w:rFonts w:ascii="Arial" w:eastAsia="Arial" w:hAnsi="Arial" w:cs="Arial"/>
              </w:rPr>
              <w:t>processo necessário para a efetiva execução dos mesmos.</w:t>
            </w:r>
            <w:r w:rsidR="19664590" w:rsidRPr="00FB4AF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299C43A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098"/>
      </w:tblGrid>
      <w:tr w:rsidR="00FB4AF5" w:rsidRPr="00FB4AF5" w14:paraId="12B999DF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0146664" w14:textId="77777777" w:rsidR="00641AB6" w:rsidRPr="00FB4AF5" w:rsidRDefault="00E038C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 </w:t>
            </w:r>
          </w:p>
          <w:p w14:paraId="2B6E807B" w14:textId="4943AE99" w:rsidR="00641AB6" w:rsidRDefault="00E038C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B4AF5">
              <w:rPr>
                <w:rFonts w:ascii="Arial" w:eastAsia="Arial" w:hAnsi="Arial" w:cs="Arial"/>
              </w:rPr>
              <w:t xml:space="preserve"> </w:t>
            </w:r>
            <w:r w:rsidRPr="00FB4AF5">
              <w:rPr>
                <w:rFonts w:ascii="Arial" w:eastAsia="Arial" w:hAnsi="Arial" w:cs="Arial"/>
                <w:b/>
              </w:rPr>
              <w:t>4</w:t>
            </w:r>
          </w:p>
          <w:p w14:paraId="2598DEE6" w14:textId="6B7610C7" w:rsidR="004809BF" w:rsidRPr="00FB4AF5" w:rsidRDefault="004809BF">
            <w:pPr>
              <w:spacing w:after="0" w:line="240" w:lineRule="auto"/>
            </w:pP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8A2FE8" w14:textId="77777777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b/>
              </w:rPr>
              <w:t>Manifestação relativa ao Processo de Revisão do Plano Diretor de Florianópolis.</w:t>
            </w:r>
          </w:p>
        </w:tc>
      </w:tr>
      <w:tr w:rsidR="00FB4AF5" w:rsidRPr="00FB4AF5" w14:paraId="55DDB493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39A5ECCB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F6DAD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CPUA-CAU/SC</w:t>
            </w:r>
          </w:p>
        </w:tc>
      </w:tr>
      <w:tr w:rsidR="00FB4AF5" w:rsidRPr="00FB4AF5" w14:paraId="6FA2BEB5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F2C4CE7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Relator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38A036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Coordenador Rodrigo Althoff</w:t>
            </w:r>
          </w:p>
        </w:tc>
      </w:tr>
      <w:tr w:rsidR="00FB4AF5" w:rsidRPr="00FB4AF5" w14:paraId="560FC82C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1AAC79F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BFDD5B" w14:textId="36B1B2FF" w:rsidR="00641AB6" w:rsidRPr="00FB4AF5" w:rsidRDefault="00D92130" w:rsidP="196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4AF5">
              <w:rPr>
                <w:rFonts w:ascii="Arial" w:eastAsia="Arial" w:hAnsi="Arial" w:cs="Arial"/>
              </w:rPr>
              <w:t xml:space="preserve">A assessoria </w:t>
            </w:r>
            <w:r w:rsidR="19664590" w:rsidRPr="00FB4AF5">
              <w:rPr>
                <w:rFonts w:ascii="Arial" w:eastAsia="Arial" w:hAnsi="Arial" w:cs="Arial"/>
              </w:rPr>
              <w:t>explica que o documento foi apresentado na última plenária e em seguida</w:t>
            </w:r>
            <w:r w:rsidRPr="00FB4AF5">
              <w:rPr>
                <w:rFonts w:ascii="Arial" w:eastAsia="Arial" w:hAnsi="Arial" w:cs="Arial"/>
              </w:rPr>
              <w:t xml:space="preserve"> ocorreu o </w:t>
            </w:r>
            <w:r w:rsidR="19664590" w:rsidRPr="00FB4AF5">
              <w:rPr>
                <w:rFonts w:ascii="Arial" w:eastAsia="Arial" w:hAnsi="Arial" w:cs="Arial"/>
              </w:rPr>
              <w:t xml:space="preserve">pedido vistas do mesmo, </w:t>
            </w:r>
            <w:r w:rsidRPr="00FB4AF5">
              <w:rPr>
                <w:rFonts w:ascii="Arial" w:eastAsia="Arial" w:hAnsi="Arial" w:cs="Arial"/>
              </w:rPr>
              <w:t>por parte de uma conselheira.</w:t>
            </w:r>
          </w:p>
          <w:p w14:paraId="7F3E9273" w14:textId="0F07B2A1" w:rsidR="00641AB6" w:rsidRPr="00FB4AF5" w:rsidRDefault="00D92130" w:rsidP="196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4AF5">
              <w:rPr>
                <w:rFonts w:ascii="Arial" w:eastAsia="Arial" w:hAnsi="Arial" w:cs="Arial"/>
              </w:rPr>
              <w:t xml:space="preserve">O conselheiro </w:t>
            </w:r>
            <w:r w:rsidR="19664590" w:rsidRPr="00FB4AF5">
              <w:rPr>
                <w:rFonts w:ascii="Arial" w:eastAsia="Arial" w:hAnsi="Arial" w:cs="Arial"/>
              </w:rPr>
              <w:t>Rodrigo discorre que é necessário aguardar o resultado do pedido de vistas, pois a opinião geral da Comissão já está documentada.</w:t>
            </w:r>
          </w:p>
          <w:p w14:paraId="0BA699F3" w14:textId="23BA014F" w:rsidR="00641AB6" w:rsidRPr="00FB4AF5" w:rsidRDefault="00D92130" w:rsidP="19664590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</w:rPr>
              <w:t xml:space="preserve">A conselheira </w:t>
            </w:r>
            <w:r w:rsidR="19664590" w:rsidRPr="00FB4AF5">
              <w:rPr>
                <w:rFonts w:ascii="Arial" w:eastAsia="Arial" w:hAnsi="Arial" w:cs="Arial"/>
              </w:rPr>
              <w:t xml:space="preserve">Silvana indaga se </w:t>
            </w:r>
            <w:r w:rsidRPr="00FB4AF5">
              <w:rPr>
                <w:rFonts w:ascii="Arial" w:eastAsia="Arial" w:hAnsi="Arial" w:cs="Arial"/>
              </w:rPr>
              <w:t xml:space="preserve">a presidente </w:t>
            </w:r>
            <w:r w:rsidR="19664590" w:rsidRPr="00FB4AF5">
              <w:rPr>
                <w:rFonts w:ascii="Arial" w:eastAsia="Arial" w:hAnsi="Arial" w:cs="Arial"/>
              </w:rPr>
              <w:t xml:space="preserve">Patrícia </w:t>
            </w:r>
            <w:r w:rsidRPr="00FB4AF5">
              <w:rPr>
                <w:rFonts w:ascii="Arial" w:eastAsia="Arial" w:hAnsi="Arial" w:cs="Arial"/>
              </w:rPr>
              <w:t xml:space="preserve">Herden </w:t>
            </w:r>
            <w:r w:rsidR="19664590" w:rsidRPr="00FB4AF5">
              <w:rPr>
                <w:rFonts w:ascii="Arial" w:eastAsia="Arial" w:hAnsi="Arial" w:cs="Arial"/>
              </w:rPr>
              <w:t>chegou a fazer uma análise no documento e em seguida concorda em aguardar o resultado do pedido de vistas.</w:t>
            </w:r>
          </w:p>
        </w:tc>
      </w:tr>
    </w:tbl>
    <w:p w14:paraId="4DDBEF00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098"/>
      </w:tblGrid>
      <w:tr w:rsidR="00FB4AF5" w:rsidRPr="00FB4AF5" w14:paraId="3C010499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7A9FD1A7" w14:textId="02BCF280" w:rsidR="00641AB6" w:rsidRDefault="00E038C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B4AF5">
              <w:rPr>
                <w:rFonts w:ascii="Arial" w:eastAsia="Arial" w:hAnsi="Arial" w:cs="Arial"/>
              </w:rPr>
              <w:t xml:space="preserve"> </w:t>
            </w:r>
            <w:r w:rsidRPr="00FB4AF5">
              <w:rPr>
                <w:rFonts w:ascii="Arial" w:eastAsia="Arial" w:hAnsi="Arial" w:cs="Arial"/>
                <w:b/>
              </w:rPr>
              <w:t>5</w:t>
            </w:r>
          </w:p>
          <w:p w14:paraId="78941E47" w14:textId="4FB1FF66" w:rsidR="004809BF" w:rsidRPr="00FB4AF5" w:rsidRDefault="004809BF">
            <w:pPr>
              <w:spacing w:after="0" w:line="240" w:lineRule="auto"/>
            </w:pP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1DFC0C" w14:textId="5CBCBD2B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b/>
              </w:rPr>
              <w:t>Campanha obra regular</w:t>
            </w:r>
          </w:p>
        </w:tc>
      </w:tr>
      <w:tr w:rsidR="00FB4AF5" w:rsidRPr="00FB4AF5" w14:paraId="5E66B11F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44DB4DBA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B76335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CPUA-CAU/SC</w:t>
            </w:r>
          </w:p>
        </w:tc>
      </w:tr>
      <w:tr w:rsidR="00FB4AF5" w:rsidRPr="00FB4AF5" w14:paraId="06EE8E6E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1A1FF0A9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Relator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66A3AF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Coordenador Rodrigo Althoff</w:t>
            </w:r>
          </w:p>
        </w:tc>
      </w:tr>
      <w:tr w:rsidR="00FB4AF5" w:rsidRPr="00FB4AF5" w14:paraId="5E094EFB" w14:textId="77777777" w:rsidTr="00BA1A59">
        <w:tc>
          <w:tcPr>
            <w:tcW w:w="1974" w:type="dxa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14:paraId="0C5368EC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9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21D181" w14:textId="08E2F067" w:rsidR="00641AB6" w:rsidRPr="00FB4AF5" w:rsidRDefault="00D92130" w:rsidP="196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4AF5">
              <w:rPr>
                <w:rFonts w:ascii="Arial" w:eastAsia="Arial" w:hAnsi="Arial" w:cs="Arial"/>
              </w:rPr>
              <w:t>A assessoria</w:t>
            </w:r>
            <w:r w:rsidR="19664590" w:rsidRPr="00FB4AF5">
              <w:rPr>
                <w:rFonts w:ascii="Arial" w:eastAsia="Arial" w:hAnsi="Arial" w:cs="Arial"/>
              </w:rPr>
              <w:t xml:space="preserve"> retoma o encaminhamento definido na última reunião, acerca do assunto, e explica que o Conselheiro Rodrigo fez uma conversa prévia com a Coordenadora da CEP, </w:t>
            </w:r>
            <w:r w:rsidRPr="00FB4AF5">
              <w:rPr>
                <w:rFonts w:ascii="Arial" w:eastAsia="Arial" w:hAnsi="Arial" w:cs="Arial"/>
              </w:rPr>
              <w:t xml:space="preserve">conselheira </w:t>
            </w:r>
            <w:r w:rsidR="19664590" w:rsidRPr="00FB4AF5">
              <w:rPr>
                <w:rFonts w:ascii="Arial" w:eastAsia="Arial" w:hAnsi="Arial" w:cs="Arial"/>
              </w:rPr>
              <w:t>Eliane, e a partir disso, será organizado uma data para entrevista entre os representantes das duas Comissões, visando possibilitar novas ações.</w:t>
            </w:r>
          </w:p>
          <w:p w14:paraId="3D0AB75F" w14:textId="3D4203D7" w:rsidR="00641AB6" w:rsidRPr="00FB4AF5" w:rsidRDefault="00D92130" w:rsidP="196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4AF5">
              <w:rPr>
                <w:rFonts w:ascii="Arial" w:eastAsia="Arial" w:hAnsi="Arial" w:cs="Arial"/>
              </w:rPr>
              <w:t xml:space="preserve">O conselheiro </w:t>
            </w:r>
            <w:r w:rsidR="19664590" w:rsidRPr="00FB4AF5">
              <w:rPr>
                <w:rFonts w:ascii="Arial" w:eastAsia="Arial" w:hAnsi="Arial" w:cs="Arial"/>
              </w:rPr>
              <w:t>Rodrigo cita que ocorreram manifestações da imprensa, através da Prefeitura, sobre a questão de demolições. Traz ainda a questão da omissão por parte das entidades vinculadas à Arquitetura e Urbanismo, em relação à ação da Prefeitura. Discorre que através da entrevista com os representantes das Comissões, ocorrerá destaque na regularização das obras e na participação e atuação profissional.</w:t>
            </w:r>
          </w:p>
          <w:p w14:paraId="36354AE3" w14:textId="0E23724E" w:rsidR="00641AB6" w:rsidRPr="00FB4AF5" w:rsidRDefault="00D92130" w:rsidP="1966459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A conselheira </w:t>
            </w:r>
            <w:r w:rsidR="19664590" w:rsidRPr="00FB4AF5">
              <w:rPr>
                <w:rFonts w:ascii="Arial" w:eastAsia="Arial" w:hAnsi="Arial" w:cs="Arial"/>
              </w:rPr>
              <w:t>Silvana fala que a fiscalização de obras é uma das principais ações do CAU e que isso incentiva a atuação profissional. Fala que talvez a CEP deveria se inteirar de maneira mais geral sobre a questão. Também cita que existem muitas obras irregulares pois não existem políticas públicas de habitação suficientes para suprir a demanda.</w:t>
            </w:r>
          </w:p>
          <w:p w14:paraId="3DF7CF95" w14:textId="1EC91A83" w:rsidR="00641AB6" w:rsidRPr="00FB4AF5" w:rsidRDefault="00D92130" w:rsidP="19664590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</w:rPr>
              <w:t xml:space="preserve">A assessoria </w:t>
            </w:r>
            <w:r w:rsidR="19664590" w:rsidRPr="00FB4AF5">
              <w:rPr>
                <w:rFonts w:ascii="Arial" w:eastAsia="Arial" w:hAnsi="Arial" w:cs="Arial"/>
              </w:rPr>
              <w:t>reitera a criação de um caminho conjunto entre as Comissões.</w:t>
            </w:r>
          </w:p>
        </w:tc>
      </w:tr>
    </w:tbl>
    <w:p w14:paraId="1FE67FF7" w14:textId="2B448FD5" w:rsidR="004809BF" w:rsidRDefault="004809BF" w:rsidP="004809BF">
      <w:pPr>
        <w:spacing w:after="0" w:line="240" w:lineRule="auto"/>
        <w:rPr>
          <w:rFonts w:ascii="Arial" w:eastAsia="Arial" w:hAnsi="Arial" w:cs="Arial"/>
        </w:rPr>
      </w:pPr>
    </w:p>
    <w:p w14:paraId="004EA138" w14:textId="638B95B7" w:rsidR="004809BF" w:rsidRDefault="004809BF" w:rsidP="004809BF">
      <w:pPr>
        <w:spacing w:after="0" w:line="240" w:lineRule="auto"/>
        <w:rPr>
          <w:rFonts w:ascii="Arial" w:eastAsia="Arial" w:hAnsi="Arial" w:cs="Arial"/>
        </w:rPr>
      </w:pPr>
    </w:p>
    <w:p w14:paraId="7CFB8C68" w14:textId="594674D4" w:rsidR="004809BF" w:rsidRDefault="004809BF" w:rsidP="004809BF">
      <w:pPr>
        <w:spacing w:after="0" w:line="240" w:lineRule="auto"/>
        <w:rPr>
          <w:rFonts w:ascii="Arial" w:eastAsia="Arial" w:hAnsi="Arial" w:cs="Arial"/>
        </w:rPr>
      </w:pPr>
    </w:p>
    <w:p w14:paraId="7EFCDD60" w14:textId="45C5AF73" w:rsidR="004809BF" w:rsidRDefault="004809BF" w:rsidP="004809BF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809BF" w:rsidRPr="00A7279D" w14:paraId="57136907" w14:textId="77777777" w:rsidTr="004931F8">
        <w:trPr>
          <w:trHeight w:hRule="exact" w:val="355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C7E119" w14:textId="393B1940" w:rsidR="004809BF" w:rsidRPr="00A7279D" w:rsidRDefault="004809BF" w:rsidP="004931F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AF5">
              <w:rPr>
                <w:rFonts w:ascii="Arial" w:eastAsia="Arial" w:hAnsi="Arial" w:cs="Arial"/>
                <w:b/>
              </w:rPr>
              <w:lastRenderedPageBreak/>
              <w:t>EXTRAPAUTA</w:t>
            </w:r>
          </w:p>
        </w:tc>
      </w:tr>
    </w:tbl>
    <w:p w14:paraId="32E1EA4E" w14:textId="77777777" w:rsidR="004809BF" w:rsidRDefault="004809BF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098"/>
      </w:tblGrid>
      <w:tr w:rsidR="00FB4AF5" w:rsidRPr="00FB4AF5" w14:paraId="3BB5DC78" w14:textId="77777777">
        <w:tc>
          <w:tcPr>
            <w:tcW w:w="1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B20A0C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DDC4B8" w14:textId="77777777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  <w:b/>
              </w:rPr>
              <w:t>Exigência do uso de softwares BIM pelas Prefeituras Municipais nas análises de projetos.</w:t>
            </w:r>
          </w:p>
        </w:tc>
      </w:tr>
      <w:tr w:rsidR="00FB4AF5" w:rsidRPr="00FB4AF5" w14:paraId="4950E017" w14:textId="77777777"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848798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DA196D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- CPUA-CAU/SC</w:t>
            </w:r>
          </w:p>
        </w:tc>
      </w:tr>
      <w:tr w:rsidR="00FB4AF5" w:rsidRPr="00FB4AF5" w14:paraId="72645EF4" w14:textId="77777777"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15941E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5A0609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</w:rPr>
              <w:t>- Douglas Goulart Virgílio</w:t>
            </w:r>
          </w:p>
        </w:tc>
      </w:tr>
      <w:tr w:rsidR="00FB4AF5" w:rsidRPr="00FB4AF5" w14:paraId="4DD2292E" w14:textId="77777777"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14:paraId="0F3784AC" w14:textId="77777777" w:rsidR="00641AB6" w:rsidRPr="00FB4AF5" w:rsidRDefault="00E038CD">
            <w:pPr>
              <w:spacing w:after="0" w:line="240" w:lineRule="auto"/>
            </w:pPr>
            <w:r w:rsidRPr="00FB4AF5">
              <w:rPr>
                <w:rFonts w:ascii="Arial" w:eastAsia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E85DA" w14:textId="29603B9F" w:rsidR="00641AB6" w:rsidRPr="00FB4AF5" w:rsidRDefault="00D921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O conselheiro </w:t>
            </w:r>
            <w:r w:rsidR="00E038CD" w:rsidRPr="00FB4AF5">
              <w:rPr>
                <w:rFonts w:ascii="Arial" w:eastAsia="Arial" w:hAnsi="Arial" w:cs="Arial"/>
              </w:rPr>
              <w:t xml:space="preserve">Douglas traz o debate acerca </w:t>
            </w:r>
            <w:r w:rsidRPr="00FB4AF5">
              <w:rPr>
                <w:rFonts w:ascii="Arial" w:eastAsia="Arial" w:hAnsi="Arial" w:cs="Arial"/>
              </w:rPr>
              <w:t>de como</w:t>
            </w:r>
            <w:r w:rsidR="00E038CD" w:rsidRPr="00FB4AF5">
              <w:rPr>
                <w:rFonts w:ascii="Arial" w:eastAsia="Arial" w:hAnsi="Arial" w:cs="Arial"/>
              </w:rPr>
              <w:t xml:space="preserve"> se desenvolve o processo simplificado e que a maioria das Prefeituras está lidando com processo simplificado de aprovação de projeto. Douglas também explica sobre como é este desenvolvimento: existe dentro das Prefeituras uma metodologia para a aplicação desse processo. As Prefeituras vão começar a exigir processos de projetos em BIM.  Cita que seria bom como encaminhamento trazer exemplos de aplicação do BIM em projetos em diversos locais (exemplifica Londres), para dar adiantamento a esta questão. </w:t>
            </w:r>
          </w:p>
          <w:p w14:paraId="14494F86" w14:textId="6F3BDBFE" w:rsidR="00641AB6" w:rsidRPr="00FB4AF5" w:rsidRDefault="00D921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O conselheiro </w:t>
            </w:r>
            <w:r w:rsidR="00E038CD" w:rsidRPr="00FB4AF5">
              <w:rPr>
                <w:rFonts w:ascii="Arial" w:eastAsia="Arial" w:hAnsi="Arial" w:cs="Arial"/>
              </w:rPr>
              <w:t>Rodrigo sugere que Douglas, se possível, traga um escopo desses padrões de processos projetuais</w:t>
            </w:r>
            <w:r w:rsidRPr="00FB4AF5">
              <w:rPr>
                <w:rFonts w:ascii="Arial" w:eastAsia="Arial" w:hAnsi="Arial" w:cs="Arial"/>
              </w:rPr>
              <w:t xml:space="preserve"> para a próxima reunião da CPUA.</w:t>
            </w:r>
            <w:r w:rsidR="00E038CD" w:rsidRPr="00FB4AF5">
              <w:rPr>
                <w:rFonts w:ascii="Arial" w:eastAsia="Arial" w:hAnsi="Arial" w:cs="Arial"/>
              </w:rPr>
              <w:t xml:space="preserve"> Também reitera que isso se refletirá nas políticas de questões urbanas. Observa que talvez possa se tornar mais um projeto da Comissão.</w:t>
            </w:r>
          </w:p>
          <w:p w14:paraId="1392594E" w14:textId="7066ADEF" w:rsidR="00641AB6" w:rsidRPr="00FB4AF5" w:rsidRDefault="00E038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Douglas confirma que irá atrás dos padrões utilizados em Londres para divulgar </w:t>
            </w:r>
            <w:r w:rsidR="00D92130" w:rsidRPr="00FB4AF5">
              <w:rPr>
                <w:rFonts w:ascii="Arial" w:eastAsia="Arial" w:hAnsi="Arial" w:cs="Arial"/>
              </w:rPr>
              <w:t>ao</w:t>
            </w:r>
            <w:r w:rsidRPr="00FB4AF5">
              <w:rPr>
                <w:rFonts w:ascii="Arial" w:eastAsia="Arial" w:hAnsi="Arial" w:cs="Arial"/>
              </w:rPr>
              <w:t xml:space="preserve"> grupo todo, e que isso agiliza de maneira muito eficaz os processos de regularização de obras e outros pontos acerca do tema. </w:t>
            </w:r>
          </w:p>
          <w:p w14:paraId="2377CAAD" w14:textId="0611B130" w:rsidR="00641AB6" w:rsidRPr="00FB4AF5" w:rsidRDefault="00D921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A conselheira </w:t>
            </w:r>
            <w:r w:rsidR="00E038CD" w:rsidRPr="00FB4AF5">
              <w:rPr>
                <w:rFonts w:ascii="Arial" w:eastAsia="Arial" w:hAnsi="Arial" w:cs="Arial"/>
              </w:rPr>
              <w:t xml:space="preserve">Silvana concorda com Douglas, mas diz que com estes processos simplificados, talvez o profissional responsável tenha uma responsabilidade muito maior recaindo sobre os mesmos. Concorda em trazer um escopo ou checklist para que haja uma linearidade nas ações e para evitar que ocorram problemas futuros. Traz a questão da acessibilidade como exemplo, e de como mudanças nas </w:t>
            </w:r>
            <w:proofErr w:type="spellStart"/>
            <w:r w:rsidR="00E038CD" w:rsidRPr="00FB4AF5">
              <w:rPr>
                <w:rFonts w:ascii="Arial" w:eastAsia="Arial" w:hAnsi="Arial" w:cs="Arial"/>
              </w:rPr>
              <w:t>NBRs</w:t>
            </w:r>
            <w:proofErr w:type="spellEnd"/>
            <w:r w:rsidR="00E038CD" w:rsidRPr="00FB4AF5">
              <w:rPr>
                <w:rFonts w:ascii="Arial" w:eastAsia="Arial" w:hAnsi="Arial" w:cs="Arial"/>
              </w:rPr>
              <w:t xml:space="preserve"> causam alterações nas diretrizes projetuais. </w:t>
            </w:r>
          </w:p>
          <w:p w14:paraId="1929755C" w14:textId="64026C0E" w:rsidR="00641AB6" w:rsidRPr="00FB4AF5" w:rsidRDefault="00D921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O conselheiro </w:t>
            </w:r>
            <w:r w:rsidR="00E038CD" w:rsidRPr="00FB4AF5">
              <w:rPr>
                <w:rFonts w:ascii="Arial" w:eastAsia="Arial" w:hAnsi="Arial" w:cs="Arial"/>
              </w:rPr>
              <w:t xml:space="preserve">Douglas cita que o poder público se exime das responsabilidades, encaminhando-as para outros agentes atuantes. </w:t>
            </w:r>
          </w:p>
          <w:p w14:paraId="4569DFFF" w14:textId="12D36314" w:rsidR="00641AB6" w:rsidRPr="00FB4AF5" w:rsidRDefault="003233F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A conselheira </w:t>
            </w:r>
            <w:r w:rsidR="00E038CD" w:rsidRPr="00FB4AF5">
              <w:rPr>
                <w:rFonts w:ascii="Arial" w:eastAsia="Arial" w:hAnsi="Arial" w:cs="Arial"/>
              </w:rPr>
              <w:t>Silvana fala que os profissionais precisam estar cientes de suas responsabilidades e novas demandas. Também vê o processo de projeto simplificado como um exemplo de necessidade de conhecimento amplo e responsabilidade.</w:t>
            </w:r>
          </w:p>
          <w:p w14:paraId="2E8F98A4" w14:textId="77777777" w:rsidR="00641AB6" w:rsidRPr="00FB4AF5" w:rsidRDefault="00E038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>Rodrigo sugere trazer mais material acerca do assunto e exemplos de aplicação do BIM em projetos diversos e, após pesquisa de material, fazer uma reunião só sobre o assunto em questão, para propor novas diretrizes.</w:t>
            </w:r>
          </w:p>
          <w:p w14:paraId="5D49FBE4" w14:textId="6BFB772B" w:rsidR="00641AB6" w:rsidRPr="00FB4AF5" w:rsidRDefault="003233F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>A assessoria</w:t>
            </w:r>
            <w:r w:rsidR="00E038CD" w:rsidRPr="00FB4AF5">
              <w:rPr>
                <w:rFonts w:ascii="Arial" w:eastAsia="Arial" w:hAnsi="Arial" w:cs="Arial"/>
              </w:rPr>
              <w:t xml:space="preserve"> cita que esse item também foi </w:t>
            </w:r>
            <w:r w:rsidRPr="00FB4AF5">
              <w:rPr>
                <w:rFonts w:ascii="Arial" w:eastAsia="Arial" w:hAnsi="Arial" w:cs="Arial"/>
              </w:rPr>
              <w:t>elencado</w:t>
            </w:r>
            <w:r w:rsidR="00E038CD" w:rsidRPr="00FB4AF5">
              <w:rPr>
                <w:rFonts w:ascii="Arial" w:eastAsia="Arial" w:hAnsi="Arial" w:cs="Arial"/>
              </w:rPr>
              <w:t xml:space="preserve"> por gestores públicos municipais através da </w:t>
            </w:r>
            <w:r w:rsidRPr="00FB4AF5">
              <w:rPr>
                <w:rFonts w:ascii="Arial" w:eastAsia="Arial" w:hAnsi="Arial" w:cs="Arial"/>
              </w:rPr>
              <w:t>F</w:t>
            </w:r>
            <w:r w:rsidR="00E038CD" w:rsidRPr="00FB4AF5">
              <w:rPr>
                <w:rFonts w:ascii="Arial" w:eastAsia="Arial" w:hAnsi="Arial" w:cs="Arial"/>
              </w:rPr>
              <w:t xml:space="preserve">ECAM. </w:t>
            </w:r>
          </w:p>
          <w:p w14:paraId="2FE35D40" w14:textId="409E1417" w:rsidR="00641AB6" w:rsidRPr="00FB4AF5" w:rsidRDefault="00E038C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B4AF5">
              <w:rPr>
                <w:rFonts w:ascii="Arial" w:eastAsia="Arial" w:hAnsi="Arial" w:cs="Arial"/>
              </w:rPr>
              <w:t xml:space="preserve">Rodrigo fala que é necessário propor e levantar o problema, levá-lo para </w:t>
            </w:r>
            <w:r w:rsidR="003233FF" w:rsidRPr="00FB4AF5">
              <w:rPr>
                <w:rFonts w:ascii="Arial" w:eastAsia="Arial" w:hAnsi="Arial" w:cs="Arial"/>
              </w:rPr>
              <w:t>debate a</w:t>
            </w:r>
            <w:r w:rsidRPr="00FB4AF5">
              <w:rPr>
                <w:rFonts w:ascii="Arial" w:eastAsia="Arial" w:hAnsi="Arial" w:cs="Arial"/>
              </w:rPr>
              <w:t xml:space="preserve">o </w:t>
            </w:r>
            <w:r w:rsidR="003233FF" w:rsidRPr="00FB4AF5">
              <w:rPr>
                <w:rFonts w:ascii="Arial" w:eastAsia="Arial" w:hAnsi="Arial" w:cs="Arial"/>
              </w:rPr>
              <w:t xml:space="preserve">III </w:t>
            </w:r>
            <w:r w:rsidRPr="00FB4AF5">
              <w:rPr>
                <w:rFonts w:ascii="Arial" w:eastAsia="Arial" w:hAnsi="Arial" w:cs="Arial"/>
              </w:rPr>
              <w:t xml:space="preserve">Congresso </w:t>
            </w:r>
            <w:r w:rsidR="003233FF" w:rsidRPr="00FB4AF5">
              <w:rPr>
                <w:rFonts w:ascii="Arial" w:eastAsia="Arial" w:hAnsi="Arial" w:cs="Arial"/>
              </w:rPr>
              <w:t xml:space="preserve">de Arquitetura e urbanismo de Santa Catarina, </w:t>
            </w:r>
            <w:r w:rsidRPr="00FB4AF5">
              <w:rPr>
                <w:rFonts w:ascii="Arial" w:eastAsia="Arial" w:hAnsi="Arial" w:cs="Arial"/>
              </w:rPr>
              <w:t>para tentar padronizar as metodologias de aprovação no Estado, de maneira integral, e assim discutir sobre o risco recorrente nos profissionais com a instabilidade de mudança nas legislações. Também cita o número crescente de profissionais formados e a qualidade da formação.</w:t>
            </w:r>
          </w:p>
          <w:p w14:paraId="2DB472ED" w14:textId="3DB25F02" w:rsidR="00641AB6" w:rsidRPr="00FB4AF5" w:rsidRDefault="00E038CD">
            <w:pPr>
              <w:spacing w:after="0" w:line="240" w:lineRule="auto"/>
              <w:jc w:val="both"/>
            </w:pPr>
            <w:r w:rsidRPr="00FB4AF5">
              <w:rPr>
                <w:rFonts w:ascii="Arial" w:eastAsia="Arial" w:hAnsi="Arial" w:cs="Arial"/>
              </w:rPr>
              <w:lastRenderedPageBreak/>
              <w:t xml:space="preserve">Como encaminhamento acerca da </w:t>
            </w:r>
            <w:r w:rsidR="003233FF" w:rsidRPr="00FB4AF5">
              <w:rPr>
                <w:rFonts w:ascii="Arial" w:eastAsia="Arial" w:hAnsi="Arial" w:cs="Arial"/>
              </w:rPr>
              <w:t>extra pauta</w:t>
            </w:r>
            <w:r w:rsidRPr="00FB4AF5">
              <w:rPr>
                <w:rFonts w:ascii="Arial" w:eastAsia="Arial" w:hAnsi="Arial" w:cs="Arial"/>
              </w:rPr>
              <w:t>, ficou definido que Douglas irá pesquisar e trazer informações para o grupo sobre um escopo ou checklist de processo simplificado para aprovação de projeto e aplicação do BIM em projetos.</w:t>
            </w:r>
          </w:p>
        </w:tc>
      </w:tr>
    </w:tbl>
    <w:p w14:paraId="3CF2D8B6" w14:textId="77777777" w:rsidR="00641AB6" w:rsidRPr="00FB4AF5" w:rsidRDefault="00641AB6">
      <w:pPr>
        <w:spacing w:after="0" w:line="240" w:lineRule="auto"/>
        <w:rPr>
          <w:rFonts w:ascii="Arial" w:eastAsia="Arial" w:hAnsi="Arial" w:cs="Arial"/>
        </w:rPr>
      </w:pPr>
    </w:p>
    <w:p w14:paraId="2941B804" w14:textId="1775C885" w:rsidR="008135F6" w:rsidRDefault="008135F6">
      <w:pPr>
        <w:spacing w:after="0" w:line="240" w:lineRule="auto"/>
        <w:jc w:val="both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</w:rPr>
        <w:t>Esta Súmula foi aprovada na 5ª reunião ordinária da CPUA-CAU/SC de 20/05/2022, com os votos favoráveis dos Conselheiros Rodrigo Althoff Medeiros, Douglas Goulart Virgílio e Silvana Maria Hall.</w:t>
      </w:r>
    </w:p>
    <w:p w14:paraId="1DC96194" w14:textId="77777777" w:rsidR="008135F6" w:rsidRDefault="008135F6">
      <w:pPr>
        <w:spacing w:after="0" w:line="240" w:lineRule="auto"/>
        <w:jc w:val="both"/>
        <w:rPr>
          <w:rFonts w:ascii="Arial" w:eastAsia="Arial" w:hAnsi="Arial" w:cs="Arial"/>
          <w:shd w:val="clear" w:color="auto" w:fill="FFFF00"/>
        </w:rPr>
      </w:pPr>
    </w:p>
    <w:p w14:paraId="601F5625" w14:textId="77777777" w:rsidR="008135F6" w:rsidRDefault="008135F6">
      <w:pPr>
        <w:spacing w:after="0" w:line="240" w:lineRule="auto"/>
        <w:jc w:val="center"/>
        <w:rPr>
          <w:rFonts w:ascii="Arial" w:eastAsia="Arial" w:hAnsi="Arial" w:cs="Arial"/>
          <w:b/>
          <w:shd w:val="clear" w:color="auto" w:fill="FFFF00"/>
        </w:rPr>
      </w:pPr>
    </w:p>
    <w:p w14:paraId="22A21324" w14:textId="091AB1B0" w:rsidR="00641AB6" w:rsidRPr="00FB4AF5" w:rsidRDefault="00E038CD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B4AF5">
        <w:rPr>
          <w:rFonts w:ascii="Arial" w:eastAsia="Arial" w:hAnsi="Arial" w:cs="Arial"/>
          <w:b/>
        </w:rPr>
        <w:t xml:space="preserve">Amanda Cristina Padova </w:t>
      </w:r>
      <w:bookmarkStart w:id="0" w:name="_GoBack"/>
      <w:bookmarkEnd w:id="0"/>
    </w:p>
    <w:p w14:paraId="3EFE6EF9" w14:textId="6EED01F1" w:rsidR="00E1670E" w:rsidRDefault="00E038CD" w:rsidP="00FB4AF5">
      <w:pPr>
        <w:spacing w:after="0" w:line="240" w:lineRule="auto"/>
        <w:jc w:val="center"/>
        <w:rPr>
          <w:rFonts w:ascii="Arial" w:eastAsia="Arial" w:hAnsi="Arial" w:cs="Arial"/>
        </w:rPr>
      </w:pPr>
      <w:r w:rsidRPr="00FB4AF5">
        <w:rPr>
          <w:rFonts w:ascii="Arial" w:eastAsia="Arial" w:hAnsi="Arial" w:cs="Arial"/>
        </w:rPr>
        <w:t>Estagiária</w:t>
      </w:r>
      <w:r w:rsidR="00FB4AF5">
        <w:rPr>
          <w:rFonts w:ascii="Arial" w:eastAsia="Arial" w:hAnsi="Arial" w:cs="Arial"/>
        </w:rPr>
        <w:t xml:space="preserve"> </w:t>
      </w:r>
      <w:r w:rsidR="004809BF">
        <w:rPr>
          <w:rFonts w:ascii="Arial" w:eastAsia="Arial" w:hAnsi="Arial" w:cs="Arial"/>
        </w:rPr>
        <w:t>de Arquitetura e Urbanismo</w:t>
      </w:r>
    </w:p>
    <w:p w14:paraId="15707E81" w14:textId="526576E8" w:rsidR="004809BF" w:rsidRPr="00FB4AF5" w:rsidRDefault="004809BF" w:rsidP="00FB4AF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Secretária</w:t>
      </w:r>
    </w:p>
    <w:p w14:paraId="62EBF3C5" w14:textId="722C91D6" w:rsidR="00641AB6" w:rsidRDefault="00641AB6">
      <w:pPr>
        <w:spacing w:after="0" w:line="240" w:lineRule="auto"/>
        <w:jc w:val="both"/>
        <w:rPr>
          <w:rFonts w:ascii="Arial" w:eastAsia="Arial" w:hAnsi="Arial" w:cs="Arial"/>
        </w:rPr>
      </w:pPr>
    </w:p>
    <w:p w14:paraId="32E3B428" w14:textId="475A0BB2" w:rsidR="008A2C76" w:rsidRDefault="008A2C76">
      <w:pPr>
        <w:spacing w:after="0" w:line="240" w:lineRule="auto"/>
        <w:jc w:val="both"/>
        <w:rPr>
          <w:rFonts w:ascii="Arial" w:eastAsia="Arial" w:hAnsi="Arial" w:cs="Arial"/>
        </w:rPr>
      </w:pPr>
    </w:p>
    <w:p w14:paraId="09F825A3" w14:textId="77777777" w:rsidR="004809BF" w:rsidRPr="00170F09" w:rsidRDefault="004809BF" w:rsidP="004809BF">
      <w:pPr>
        <w:spacing w:after="0" w:line="240" w:lineRule="auto"/>
        <w:jc w:val="both"/>
        <w:rPr>
          <w:rFonts w:ascii="Arial" w:hAnsi="Arial" w:cs="Arial"/>
          <w:bCs/>
        </w:rPr>
      </w:pPr>
      <w:r w:rsidRPr="00170F09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0FC88614" w14:textId="77777777" w:rsidR="004809BF" w:rsidRPr="00170F09" w:rsidRDefault="004809BF" w:rsidP="004809BF">
      <w:pPr>
        <w:spacing w:after="0" w:line="240" w:lineRule="auto"/>
        <w:jc w:val="center"/>
        <w:rPr>
          <w:rFonts w:ascii="Arial" w:hAnsi="Arial" w:cs="Arial"/>
          <w:b/>
        </w:rPr>
      </w:pPr>
    </w:p>
    <w:p w14:paraId="1ACC7905" w14:textId="666C4F5E" w:rsidR="004809BF" w:rsidRDefault="004809BF" w:rsidP="004809BF">
      <w:pPr>
        <w:spacing w:after="0" w:line="240" w:lineRule="auto"/>
        <w:jc w:val="center"/>
        <w:rPr>
          <w:rFonts w:ascii="Arial" w:hAnsi="Arial" w:cs="Arial"/>
          <w:b/>
        </w:rPr>
      </w:pPr>
    </w:p>
    <w:p w14:paraId="642DBA97" w14:textId="495C0CD8" w:rsidR="004809BF" w:rsidRDefault="004809BF" w:rsidP="004809BF">
      <w:pPr>
        <w:spacing w:after="0" w:line="240" w:lineRule="auto"/>
        <w:jc w:val="center"/>
        <w:rPr>
          <w:rFonts w:ascii="Arial" w:hAnsi="Arial" w:cs="Arial"/>
          <w:b/>
        </w:rPr>
      </w:pPr>
    </w:p>
    <w:p w14:paraId="6B659A13" w14:textId="33D4C26A" w:rsidR="004809BF" w:rsidRDefault="004809BF" w:rsidP="004809BF">
      <w:pPr>
        <w:spacing w:after="0" w:line="240" w:lineRule="auto"/>
        <w:jc w:val="center"/>
        <w:rPr>
          <w:rFonts w:ascii="Arial" w:hAnsi="Arial" w:cs="Arial"/>
          <w:b/>
        </w:rPr>
      </w:pPr>
    </w:p>
    <w:p w14:paraId="04332B90" w14:textId="77777777" w:rsidR="004809BF" w:rsidRPr="00170F09" w:rsidRDefault="004809BF" w:rsidP="004809BF">
      <w:pPr>
        <w:spacing w:after="0" w:line="240" w:lineRule="auto"/>
        <w:jc w:val="center"/>
        <w:rPr>
          <w:rFonts w:ascii="Arial" w:hAnsi="Arial" w:cs="Arial"/>
          <w:b/>
        </w:rPr>
      </w:pPr>
    </w:p>
    <w:p w14:paraId="314B80CB" w14:textId="77777777" w:rsidR="004809BF" w:rsidRPr="00170F09" w:rsidRDefault="004809BF" w:rsidP="004809BF">
      <w:pPr>
        <w:spacing w:after="0" w:line="240" w:lineRule="auto"/>
        <w:jc w:val="center"/>
        <w:rPr>
          <w:rFonts w:ascii="Arial" w:hAnsi="Arial" w:cs="Arial"/>
          <w:b/>
        </w:rPr>
      </w:pPr>
      <w:r w:rsidRPr="00170F09">
        <w:rPr>
          <w:rFonts w:ascii="Arial" w:hAnsi="Arial" w:cs="Arial"/>
          <w:b/>
        </w:rPr>
        <w:t>Jaime Teixeira Chaves</w:t>
      </w:r>
    </w:p>
    <w:p w14:paraId="3898CCA1" w14:textId="77777777" w:rsidR="004809BF" w:rsidRPr="00170F09" w:rsidRDefault="004809BF" w:rsidP="004809BF">
      <w:pPr>
        <w:spacing w:after="0" w:line="240" w:lineRule="auto"/>
        <w:jc w:val="center"/>
        <w:rPr>
          <w:rFonts w:ascii="Arial" w:hAnsi="Arial" w:cs="Arial"/>
        </w:rPr>
      </w:pPr>
      <w:r w:rsidRPr="00170F09">
        <w:rPr>
          <w:rFonts w:ascii="Arial" w:hAnsi="Arial" w:cs="Arial"/>
        </w:rPr>
        <w:t xml:space="preserve">Secretário dos Órgãos Colegiados </w:t>
      </w:r>
    </w:p>
    <w:p w14:paraId="58EF1102" w14:textId="77777777" w:rsidR="004809BF" w:rsidRPr="00170F09" w:rsidRDefault="004809BF" w:rsidP="004809BF">
      <w:pPr>
        <w:spacing w:after="0" w:line="240" w:lineRule="auto"/>
        <w:jc w:val="center"/>
        <w:rPr>
          <w:rFonts w:ascii="Arial" w:hAnsi="Arial" w:cs="Arial"/>
        </w:rPr>
      </w:pPr>
      <w:r w:rsidRPr="00170F09">
        <w:rPr>
          <w:rFonts w:ascii="Arial" w:hAnsi="Arial" w:cs="Arial"/>
        </w:rPr>
        <w:t>do CAU/SC</w:t>
      </w:r>
    </w:p>
    <w:p w14:paraId="647F7D56" w14:textId="77777777" w:rsidR="004809BF" w:rsidRPr="00FB4AF5" w:rsidRDefault="004809BF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4809BF" w:rsidRPr="00FB4AF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69E2" w14:textId="77777777" w:rsidR="00FB4AF5" w:rsidRDefault="00FB4AF5" w:rsidP="00FB4AF5">
      <w:pPr>
        <w:spacing w:after="0" w:line="240" w:lineRule="auto"/>
      </w:pPr>
      <w:r>
        <w:separator/>
      </w:r>
    </w:p>
  </w:endnote>
  <w:endnote w:type="continuationSeparator" w:id="0">
    <w:p w14:paraId="4373E630" w14:textId="77777777" w:rsidR="00FB4AF5" w:rsidRDefault="00FB4AF5" w:rsidP="00FB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E667" w14:textId="77777777" w:rsidR="00FB4AF5" w:rsidRDefault="00FB4AF5" w:rsidP="00FB4AF5">
      <w:pPr>
        <w:spacing w:after="0" w:line="240" w:lineRule="auto"/>
      </w:pPr>
      <w:r>
        <w:separator/>
      </w:r>
    </w:p>
  </w:footnote>
  <w:footnote w:type="continuationSeparator" w:id="0">
    <w:p w14:paraId="7C80DF71" w14:textId="77777777" w:rsidR="00FB4AF5" w:rsidRDefault="00FB4AF5" w:rsidP="00FB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BF2" w14:textId="19A9B087" w:rsidR="00FB4AF5" w:rsidRDefault="00FB4AF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5FA65" wp14:editId="6CE13F8C">
          <wp:simplePos x="0" y="0"/>
          <wp:positionH relativeFrom="column">
            <wp:posOffset>-828675</wp:posOffset>
          </wp:positionH>
          <wp:positionV relativeFrom="paragraph">
            <wp:posOffset>-752475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1A5"/>
    <w:multiLevelType w:val="multilevel"/>
    <w:tmpl w:val="D600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026BE"/>
    <w:multiLevelType w:val="multilevel"/>
    <w:tmpl w:val="DD02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465B8"/>
    <w:multiLevelType w:val="multilevel"/>
    <w:tmpl w:val="22C0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664590"/>
    <w:rsid w:val="0008422F"/>
    <w:rsid w:val="00103E27"/>
    <w:rsid w:val="003233FF"/>
    <w:rsid w:val="004809BF"/>
    <w:rsid w:val="004D2464"/>
    <w:rsid w:val="00641AB6"/>
    <w:rsid w:val="008135F6"/>
    <w:rsid w:val="008A2C76"/>
    <w:rsid w:val="00A35FE8"/>
    <w:rsid w:val="00AC4935"/>
    <w:rsid w:val="00AD346C"/>
    <w:rsid w:val="00BA1A59"/>
    <w:rsid w:val="00D92130"/>
    <w:rsid w:val="00E038CD"/>
    <w:rsid w:val="00E1670E"/>
    <w:rsid w:val="00F32F16"/>
    <w:rsid w:val="00F67839"/>
    <w:rsid w:val="00FB4AF5"/>
    <w:rsid w:val="19664590"/>
    <w:rsid w:val="487554DC"/>
    <w:rsid w:val="5BEDB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86950"/>
  <w15:docId w15:val="{C4F60292-FD47-4064-90F9-6BA844E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AF5"/>
  </w:style>
  <w:style w:type="paragraph" w:styleId="Rodap">
    <w:name w:val="footer"/>
    <w:basedOn w:val="Normal"/>
    <w:link w:val="RodapChar"/>
    <w:uiPriority w:val="99"/>
    <w:unhideWhenUsed/>
    <w:rsid w:val="00FB4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AF5"/>
  </w:style>
  <w:style w:type="table" w:styleId="Tabelacomgrade">
    <w:name w:val="Table Grid"/>
    <w:basedOn w:val="Tabelanormal"/>
    <w:uiPriority w:val="59"/>
    <w:rsid w:val="00BA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4809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09B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1591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Teixeira Chaves</dc:creator>
  <cp:lastModifiedBy>Jaime Teixeira Chaves</cp:lastModifiedBy>
  <cp:revision>12</cp:revision>
  <cp:lastPrinted>2022-05-23T17:21:00Z</cp:lastPrinted>
  <dcterms:created xsi:type="dcterms:W3CDTF">2022-05-09T13:46:00Z</dcterms:created>
  <dcterms:modified xsi:type="dcterms:W3CDTF">2022-05-23T17:36:00Z</dcterms:modified>
</cp:coreProperties>
</file>