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C292E" w:rsidRPr="00107EEC" w14:paraId="24F1789C" w14:textId="77777777">
        <w:trPr>
          <w:trHeight w:val="408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05B7022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F706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E9A87C" w14:textId="1E4C0D69" w:rsidR="00FA584C" w:rsidRPr="00557BBB" w:rsidRDefault="00557BBB" w:rsidP="001912E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206145</w:t>
            </w:r>
            <w:r w:rsidR="00420D9D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680984" w:rsidRPr="00420D9D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pt-BR"/>
              </w:rPr>
              <w:t xml:space="preserve"> </w:t>
            </w:r>
            <w:r w:rsidR="008C454D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252673</w:t>
            </w:r>
            <w:r w:rsidR="00420D9D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8C454D" w:rsidRPr="00420D9D">
              <w:rPr>
                <w:rStyle w:val="ui-provider"/>
                <w:sz w:val="28"/>
                <w:szCs w:val="28"/>
              </w:rPr>
              <w:t xml:space="preserve"> </w:t>
            </w:r>
            <w:r w:rsidR="00680984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230347</w:t>
            </w:r>
            <w:r w:rsidR="00AD255D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238113</w:t>
            </w:r>
            <w:r w:rsidR="00C12FCE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213800</w:t>
            </w:r>
            <w:r w:rsidR="002821D2" w:rsidRPr="0042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12FCE" w:rsidRPr="00420D9D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C292E" w:rsidRPr="00107EEC" w14:paraId="1E9F0C83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EACD129" w14:textId="1C199B98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0FF97" w14:textId="38E558F9" w:rsidR="00EC292E" w:rsidRPr="00107EEC" w:rsidRDefault="00391D26" w:rsidP="005706A1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Solicitantes; Instituições de Ensino Superior.</w:t>
            </w:r>
          </w:p>
        </w:tc>
        <w:tc>
          <w:tcPr>
            <w:tcW w:w="90" w:type="dxa"/>
          </w:tcPr>
          <w:p w14:paraId="20BA1AB3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6879B689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AFBC01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C57F8" w14:textId="718568E5" w:rsidR="00EC292E" w:rsidRPr="00036D5F" w:rsidRDefault="00036D5F" w:rsidP="00851A0A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6D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de registro de egressos de cursos que ainda não formaram sua primeira turma</w:t>
            </w:r>
          </w:p>
        </w:tc>
        <w:tc>
          <w:tcPr>
            <w:tcW w:w="90" w:type="dxa"/>
          </w:tcPr>
          <w:p w14:paraId="70578441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450731FB" w14:textId="77777777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14:paraId="205C889A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14:paraId="18F145D4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0" w:type="dxa"/>
          </w:tcPr>
          <w:p w14:paraId="7B108D3C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4A505104" w14:textId="77777777">
        <w:trPr>
          <w:trHeight w:val="324"/>
        </w:trPr>
        <w:tc>
          <w:tcPr>
            <w:tcW w:w="8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0153556" w14:textId="3F587D9E" w:rsidR="00EC292E" w:rsidRPr="00107EEC" w:rsidRDefault="00107EE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Pr="00E27D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20D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34</w:t>
            </w: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90" w:type="dxa"/>
          </w:tcPr>
          <w:p w14:paraId="08AC0534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640D7FB" w14:textId="706C3EA6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0AA5D47" w14:textId="6C917E0D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a Resolução n°</w:t>
      </w:r>
      <w:r w:rsidR="0020383F">
        <w:rPr>
          <w:rFonts w:ascii="Arial" w:hAnsi="Arial" w:cs="Arial"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14:paraId="22C91CE6" w14:textId="368319B8" w:rsidR="00EC292E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</w:t>
      </w:r>
      <w:r w:rsidR="009502DA">
        <w:rPr>
          <w:rFonts w:ascii="Arial" w:hAnsi="Arial" w:cs="Arial"/>
          <w:sz w:val="22"/>
          <w:szCs w:val="22"/>
        </w:rPr>
        <w:t>;</w:t>
      </w:r>
    </w:p>
    <w:p w14:paraId="5496009C" w14:textId="4B8C1F3E" w:rsidR="00AC2AD0" w:rsidRPr="00420D9D" w:rsidRDefault="009502D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Considerando que os requerentes desses registros profissionais</w:t>
      </w:r>
      <w:r w:rsidR="005706A1" w:rsidRPr="00420D9D">
        <w:rPr>
          <w:rFonts w:ascii="Arial" w:hAnsi="Arial" w:cs="Arial"/>
          <w:sz w:val="22"/>
          <w:szCs w:val="22"/>
        </w:rPr>
        <w:t xml:space="preserve"> </w:t>
      </w:r>
      <w:r w:rsidR="00D828AB" w:rsidRPr="00420D9D">
        <w:rPr>
          <w:rFonts w:ascii="Arial" w:hAnsi="Arial" w:cs="Arial"/>
          <w:sz w:val="22"/>
          <w:szCs w:val="22"/>
        </w:rPr>
        <w:t>tiveram aproveitamento de estudo anteriores e</w:t>
      </w:r>
      <w:r w:rsidR="00567452" w:rsidRPr="00420D9D">
        <w:rPr>
          <w:rFonts w:ascii="Arial" w:hAnsi="Arial" w:cs="Arial"/>
          <w:sz w:val="22"/>
          <w:szCs w:val="22"/>
        </w:rPr>
        <w:t>, com isso, se</w:t>
      </w:r>
      <w:r w:rsidR="00D828AB" w:rsidRPr="00420D9D">
        <w:rPr>
          <w:rFonts w:ascii="Arial" w:hAnsi="Arial" w:cs="Arial"/>
          <w:sz w:val="22"/>
          <w:szCs w:val="22"/>
        </w:rPr>
        <w:t xml:space="preserve"> </w:t>
      </w:r>
      <w:r w:rsidR="005706A1" w:rsidRPr="00420D9D">
        <w:rPr>
          <w:rFonts w:ascii="Arial" w:hAnsi="Arial" w:cs="Arial"/>
          <w:sz w:val="22"/>
          <w:szCs w:val="22"/>
        </w:rPr>
        <w:t>formaram antes da primeira turma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567452" w:rsidRPr="00420D9D">
        <w:rPr>
          <w:rFonts w:ascii="Arial" w:hAnsi="Arial" w:cs="Arial"/>
          <w:sz w:val="22"/>
          <w:szCs w:val="22"/>
        </w:rPr>
        <w:t>de seus</w:t>
      </w:r>
      <w:r w:rsidRPr="00420D9D">
        <w:rPr>
          <w:rFonts w:ascii="Arial" w:hAnsi="Arial" w:cs="Arial"/>
          <w:sz w:val="22"/>
          <w:szCs w:val="22"/>
        </w:rPr>
        <w:t xml:space="preserve"> curso</w:t>
      </w:r>
      <w:r w:rsidR="00567452" w:rsidRPr="00420D9D">
        <w:rPr>
          <w:rFonts w:ascii="Arial" w:hAnsi="Arial" w:cs="Arial"/>
          <w:sz w:val="22"/>
          <w:szCs w:val="22"/>
        </w:rPr>
        <w:t>s</w:t>
      </w:r>
      <w:r w:rsidR="006C6113" w:rsidRPr="00420D9D">
        <w:rPr>
          <w:rFonts w:ascii="Arial" w:hAnsi="Arial" w:cs="Arial"/>
          <w:sz w:val="22"/>
          <w:szCs w:val="22"/>
        </w:rPr>
        <w:t xml:space="preserve">, considerada a data de início </w:t>
      </w:r>
      <w:r w:rsidRPr="00420D9D">
        <w:rPr>
          <w:rFonts w:ascii="Arial" w:hAnsi="Arial" w:cs="Arial"/>
          <w:sz w:val="22"/>
          <w:szCs w:val="22"/>
        </w:rPr>
        <w:t xml:space="preserve">constante do portal </w:t>
      </w:r>
      <w:proofErr w:type="spellStart"/>
      <w:r w:rsidRPr="00420D9D">
        <w:rPr>
          <w:rFonts w:ascii="Arial" w:hAnsi="Arial" w:cs="Arial"/>
          <w:sz w:val="22"/>
          <w:szCs w:val="22"/>
        </w:rPr>
        <w:t>e-MEC</w:t>
      </w:r>
      <w:proofErr w:type="spellEnd"/>
      <w:r w:rsidRPr="00420D9D">
        <w:rPr>
          <w:rFonts w:ascii="Arial" w:hAnsi="Arial" w:cs="Arial"/>
          <w:sz w:val="22"/>
          <w:szCs w:val="22"/>
        </w:rPr>
        <w:t>;</w:t>
      </w:r>
    </w:p>
    <w:p w14:paraId="4F895911" w14:textId="215E966D" w:rsidR="00AC2AD0" w:rsidRPr="00420D9D" w:rsidRDefault="00AC2AD0" w:rsidP="006C611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Considerando a Deliberação CEF-CAU/BR nº 064/2023, que, dentre outras providências, encaminha consulta à Secretaria de Regulação e Supervisão da Educação Superior (Seres) do Ministério da Educação (MEC</w:t>
      </w:r>
      <w:r w:rsidR="00B57CD5" w:rsidRPr="00420D9D">
        <w:rPr>
          <w:rFonts w:ascii="Arial" w:hAnsi="Arial" w:cs="Arial"/>
          <w:sz w:val="22"/>
          <w:szCs w:val="22"/>
        </w:rPr>
        <w:t xml:space="preserve">) </w:t>
      </w:r>
      <w:r w:rsidRPr="00420D9D">
        <w:rPr>
          <w:rFonts w:ascii="Arial" w:hAnsi="Arial" w:cs="Arial"/>
          <w:sz w:val="22"/>
          <w:szCs w:val="22"/>
        </w:rPr>
        <w:t>para esclarecimentos e posicionamento sobre a possibilidade de IES expedir certificado de conclusão de curso e histórico escolar para cursos que não tenham concluído sua primeira turma, bem como expedição e registro de diploma por IES diversa da instituição formadora;</w:t>
      </w:r>
      <w:r w:rsidR="006C6113" w:rsidRPr="00420D9D">
        <w:rPr>
          <w:rFonts w:ascii="Arial" w:hAnsi="Arial" w:cs="Arial"/>
          <w:sz w:val="22"/>
          <w:szCs w:val="22"/>
        </w:rPr>
        <w:t xml:space="preserve"> </w:t>
      </w:r>
    </w:p>
    <w:p w14:paraId="44BD9EE7" w14:textId="33DE24A3" w:rsidR="003743F2" w:rsidRPr="00420D9D" w:rsidRDefault="003743F2" w:rsidP="006C611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Considerando que </w:t>
      </w:r>
      <w:r w:rsidR="006926D1" w:rsidRPr="00420D9D">
        <w:rPr>
          <w:rFonts w:ascii="Arial" w:hAnsi="Arial" w:cs="Arial"/>
          <w:i/>
          <w:sz w:val="22"/>
          <w:szCs w:val="22"/>
        </w:rPr>
        <w:t>“</w:t>
      </w:r>
      <w:r w:rsidRPr="00420D9D">
        <w:rPr>
          <w:rFonts w:ascii="Arial" w:hAnsi="Arial" w:cs="Arial"/>
          <w:i/>
          <w:sz w:val="22"/>
          <w:szCs w:val="22"/>
        </w:rPr>
        <w:t>não há previsão normativa acerca da prerrogativa de expedição de histórico escolar, certificado de conclusão, bem como de expedição e registro de diploma por IES cujo curso não tenha concluído sua primeira turma</w:t>
      </w:r>
      <w:r w:rsidR="006926D1" w:rsidRPr="00420D9D">
        <w:rPr>
          <w:rFonts w:ascii="Arial" w:hAnsi="Arial" w:cs="Arial"/>
          <w:i/>
          <w:sz w:val="22"/>
          <w:szCs w:val="22"/>
        </w:rPr>
        <w:t>”</w:t>
      </w:r>
      <w:r w:rsidRPr="00420D9D">
        <w:rPr>
          <w:rFonts w:ascii="Arial" w:hAnsi="Arial" w:cs="Arial"/>
          <w:sz w:val="22"/>
          <w:szCs w:val="22"/>
        </w:rPr>
        <w:t xml:space="preserve"> [Deliberação CEF-CAU/BR nº 064/2023];</w:t>
      </w:r>
    </w:p>
    <w:p w14:paraId="41D94390" w14:textId="5BAE8F2B" w:rsidR="00D828AB" w:rsidRPr="00420D9D" w:rsidRDefault="00D828AB" w:rsidP="006C611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Considerando a Deliberação n° 079/2023 – CEF-CAU/BR, que orientou </w:t>
      </w:r>
      <w:r w:rsidR="00AC2AD0" w:rsidRPr="00420D9D">
        <w:rPr>
          <w:rFonts w:ascii="Arial" w:hAnsi="Arial" w:cs="Arial"/>
          <w:sz w:val="22"/>
          <w:szCs w:val="22"/>
        </w:rPr>
        <w:t xml:space="preserve">ao CAU/SC o sobrestamento dos requerimentos de registros profissionais de egressos da UNISUL Itajaí, até recebimento de documentos solicitados e manifestação conclusiva da </w:t>
      </w:r>
      <w:proofErr w:type="spellStart"/>
      <w:r w:rsidR="00AC2AD0" w:rsidRPr="00420D9D">
        <w:rPr>
          <w:rFonts w:ascii="Arial" w:hAnsi="Arial" w:cs="Arial"/>
          <w:sz w:val="22"/>
          <w:szCs w:val="22"/>
        </w:rPr>
        <w:t>Seres-MEC</w:t>
      </w:r>
      <w:proofErr w:type="spellEnd"/>
      <w:r w:rsidR="00AC2AD0" w:rsidRPr="00420D9D">
        <w:rPr>
          <w:rFonts w:ascii="Arial" w:hAnsi="Arial" w:cs="Arial"/>
          <w:sz w:val="22"/>
          <w:szCs w:val="22"/>
        </w:rPr>
        <w:t xml:space="preserve"> sobre a matéria encaminhada pela Deliberação CEF-CAU/BR nº 064/2023;</w:t>
      </w:r>
    </w:p>
    <w:p w14:paraId="21900065" w14:textId="26E6F9F6" w:rsidR="00535D4A" w:rsidRPr="00420D9D" w:rsidRDefault="00335895" w:rsidP="00535D4A">
      <w:pPr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Considerando a Deliberação nº 081/2023 CEF-CAU/SC, que, dentre outras providências,</w:t>
      </w:r>
      <w:r w:rsidR="00535D4A" w:rsidRPr="00420D9D">
        <w:rPr>
          <w:rFonts w:ascii="Arial" w:hAnsi="Arial" w:cs="Arial"/>
          <w:sz w:val="22"/>
          <w:szCs w:val="22"/>
        </w:rPr>
        <w:t xml:space="preserve"> questionou ao Ministério da Educação, por meio do Conselho Nacional de Educação, sobre a validade de diploma expedido pela Faculdade UNISUL de Itajaí (</w:t>
      </w:r>
      <w:proofErr w:type="spellStart"/>
      <w:r w:rsidR="00535D4A" w:rsidRPr="00420D9D">
        <w:rPr>
          <w:rFonts w:ascii="Arial" w:hAnsi="Arial" w:cs="Arial"/>
          <w:sz w:val="22"/>
          <w:szCs w:val="22"/>
        </w:rPr>
        <w:t>eMEC</w:t>
      </w:r>
      <w:proofErr w:type="spellEnd"/>
      <w:r w:rsidR="00535D4A" w:rsidRPr="00420D9D">
        <w:rPr>
          <w:rFonts w:ascii="Arial" w:hAnsi="Arial" w:cs="Arial"/>
          <w:sz w:val="22"/>
          <w:szCs w:val="22"/>
        </w:rPr>
        <w:t xml:space="preserve"> 1411907) para egressos provenientes de transferência externa, com aproveitamento de estudos, mas cujo curso ainda não teve formação de “primeira turma” (ingressante no primeiro semestre e concluinte no décimo semestre);</w:t>
      </w:r>
      <w:r w:rsidR="005F2238" w:rsidRPr="00420D9D">
        <w:rPr>
          <w:rFonts w:ascii="Arial" w:hAnsi="Arial" w:cs="Arial"/>
          <w:sz w:val="22"/>
          <w:szCs w:val="22"/>
        </w:rPr>
        <w:t xml:space="preserve"> e que solicitou à CEF-CAU/BR  cálculo de tempestividade do curso de Arquitetura e Urbanismo da Faculdade UNISUL de Itajaí (</w:t>
      </w:r>
      <w:proofErr w:type="spellStart"/>
      <w:r w:rsidR="005F2238" w:rsidRPr="00420D9D">
        <w:rPr>
          <w:rFonts w:ascii="Arial" w:hAnsi="Arial" w:cs="Arial"/>
          <w:sz w:val="22"/>
          <w:szCs w:val="22"/>
        </w:rPr>
        <w:t>eMEC</w:t>
      </w:r>
      <w:proofErr w:type="spellEnd"/>
      <w:r w:rsidR="005F2238" w:rsidRPr="00420D9D">
        <w:rPr>
          <w:rFonts w:ascii="Arial" w:hAnsi="Arial" w:cs="Arial"/>
          <w:sz w:val="22"/>
          <w:szCs w:val="22"/>
        </w:rPr>
        <w:t xml:space="preserve"> 1411907);</w:t>
      </w:r>
    </w:p>
    <w:p w14:paraId="1AA15D9F" w14:textId="030F4BE1" w:rsidR="00535D4A" w:rsidRPr="00420D9D" w:rsidRDefault="00535D4A" w:rsidP="008E4FA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Considerando resposta do Conselho Nacional de Educação MEC, recebida aos 31 de janeiro de 2024, com indicação para encaminhamento da consulta à Secretaria de Regulação e Supervisão da Educação Superior (SERES) MEC, </w:t>
      </w:r>
      <w:r w:rsidR="008E4FA5" w:rsidRPr="00420D9D">
        <w:rPr>
          <w:rFonts w:ascii="Arial" w:hAnsi="Arial" w:cs="Arial"/>
          <w:sz w:val="22"/>
          <w:szCs w:val="22"/>
        </w:rPr>
        <w:t>e encaminhamento enviado na</w:t>
      </w:r>
      <w:r w:rsidRPr="00420D9D">
        <w:rPr>
          <w:rFonts w:ascii="Arial" w:hAnsi="Arial" w:cs="Arial"/>
          <w:sz w:val="22"/>
          <w:szCs w:val="22"/>
        </w:rPr>
        <w:t xml:space="preserve"> data </w:t>
      </w:r>
      <w:r w:rsidR="00161195" w:rsidRPr="00420D9D">
        <w:rPr>
          <w:rFonts w:ascii="Arial" w:hAnsi="Arial" w:cs="Arial"/>
          <w:sz w:val="22"/>
          <w:szCs w:val="22"/>
        </w:rPr>
        <w:t xml:space="preserve">01 de </w:t>
      </w:r>
      <w:r w:rsidR="00161195" w:rsidRPr="00420D9D">
        <w:rPr>
          <w:rFonts w:ascii="Arial" w:hAnsi="Arial" w:cs="Arial"/>
          <w:sz w:val="22"/>
          <w:szCs w:val="22"/>
        </w:rPr>
        <w:lastRenderedPageBreak/>
        <w:t>fevereiro de 2024, com solicitação da previsão de análise na data 28 de março de 2024, sem retorno;</w:t>
      </w:r>
    </w:p>
    <w:p w14:paraId="475118D1" w14:textId="5909304C" w:rsidR="00D828AB" w:rsidRPr="00420D9D" w:rsidRDefault="00AC2AD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Considerando </w:t>
      </w:r>
      <w:r w:rsidR="006C6113" w:rsidRPr="00420D9D">
        <w:rPr>
          <w:rFonts w:ascii="Arial" w:hAnsi="Arial" w:cs="Arial"/>
          <w:sz w:val="22"/>
          <w:szCs w:val="22"/>
        </w:rPr>
        <w:t>que ainda não houve retorno da</w:t>
      </w:r>
      <w:r w:rsidRPr="00420D9D">
        <w:rPr>
          <w:rFonts w:ascii="Arial" w:hAnsi="Arial" w:cs="Arial"/>
          <w:sz w:val="22"/>
          <w:szCs w:val="22"/>
        </w:rPr>
        <w:t xml:space="preserve"> SERES MEC</w:t>
      </w:r>
      <w:r w:rsidR="006C6113" w:rsidRPr="00420D9D">
        <w:rPr>
          <w:rFonts w:ascii="Arial" w:hAnsi="Arial" w:cs="Arial"/>
          <w:sz w:val="22"/>
          <w:szCs w:val="22"/>
        </w:rPr>
        <w:t xml:space="preserve"> quanto </w:t>
      </w:r>
      <w:r w:rsidR="00AA1637" w:rsidRPr="00420D9D">
        <w:rPr>
          <w:rFonts w:ascii="Arial" w:hAnsi="Arial" w:cs="Arial"/>
          <w:sz w:val="22"/>
          <w:szCs w:val="22"/>
        </w:rPr>
        <w:t>às consultas</w:t>
      </w:r>
      <w:r w:rsidRPr="00420D9D">
        <w:rPr>
          <w:rFonts w:ascii="Arial" w:hAnsi="Arial" w:cs="Arial"/>
          <w:sz w:val="22"/>
          <w:szCs w:val="22"/>
        </w:rPr>
        <w:t xml:space="preserve"> acima citadas;</w:t>
      </w:r>
    </w:p>
    <w:p w14:paraId="22F4BB0E" w14:textId="083553E9" w:rsidR="004379A8" w:rsidRPr="00420D9D" w:rsidRDefault="008E50D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Considerando</w:t>
      </w:r>
      <w:r w:rsidR="00C432F1" w:rsidRPr="00420D9D">
        <w:rPr>
          <w:rFonts w:ascii="Arial" w:hAnsi="Arial" w:cs="Arial"/>
          <w:sz w:val="22"/>
          <w:szCs w:val="22"/>
        </w:rPr>
        <w:t xml:space="preserve"> o</w:t>
      </w:r>
      <w:r w:rsidRPr="00420D9D">
        <w:rPr>
          <w:rFonts w:ascii="Arial" w:hAnsi="Arial" w:cs="Arial"/>
          <w:sz w:val="22"/>
          <w:szCs w:val="22"/>
        </w:rPr>
        <w:t xml:space="preserve"> § 2° </w:t>
      </w:r>
      <w:r w:rsidR="009E46E8" w:rsidRPr="00420D9D">
        <w:rPr>
          <w:rFonts w:ascii="Arial" w:hAnsi="Arial" w:cs="Arial"/>
          <w:sz w:val="22"/>
          <w:szCs w:val="22"/>
        </w:rPr>
        <w:t xml:space="preserve">do </w:t>
      </w:r>
      <w:r w:rsidRPr="00420D9D">
        <w:rPr>
          <w:rFonts w:ascii="Arial" w:hAnsi="Arial" w:cs="Arial"/>
          <w:sz w:val="22"/>
          <w:szCs w:val="22"/>
        </w:rPr>
        <w:t>art</w:t>
      </w:r>
      <w:r w:rsidR="00C432F1" w:rsidRPr="00420D9D">
        <w:rPr>
          <w:rFonts w:ascii="Arial" w:hAnsi="Arial" w:cs="Arial"/>
          <w:sz w:val="22"/>
          <w:szCs w:val="22"/>
        </w:rPr>
        <w:t xml:space="preserve">. 5º da Resolução nº 18 CAU/BR: </w:t>
      </w:r>
      <w:r w:rsidR="001063ED" w:rsidRPr="00420D9D">
        <w:rPr>
          <w:rFonts w:ascii="Arial" w:hAnsi="Arial" w:cs="Arial"/>
          <w:sz w:val="22"/>
          <w:szCs w:val="22"/>
        </w:rPr>
        <w:t>“</w:t>
      </w:r>
      <w:r w:rsidRPr="00420D9D">
        <w:rPr>
          <w:rFonts w:ascii="Arial" w:hAnsi="Arial" w:cs="Arial"/>
          <w:i/>
          <w:sz w:val="22"/>
          <w:szCs w:val="22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</w:t>
      </w:r>
      <w:r w:rsidR="001063ED" w:rsidRPr="00420D9D">
        <w:rPr>
          <w:rFonts w:ascii="Arial" w:hAnsi="Arial" w:cs="Arial"/>
          <w:i/>
          <w:sz w:val="22"/>
          <w:szCs w:val="22"/>
        </w:rPr>
        <w:t>tro no SICCAU como ‘data de fim</w:t>
      </w:r>
      <w:proofErr w:type="gramStart"/>
      <w:r w:rsidR="001063ED" w:rsidRPr="00420D9D">
        <w:rPr>
          <w:rFonts w:ascii="Arial" w:hAnsi="Arial" w:cs="Arial"/>
          <w:i/>
          <w:sz w:val="22"/>
          <w:szCs w:val="22"/>
        </w:rPr>
        <w:t>’ ”</w:t>
      </w:r>
      <w:proofErr w:type="gramEnd"/>
      <w:r w:rsidR="009E46E8" w:rsidRPr="00420D9D">
        <w:rPr>
          <w:rFonts w:ascii="Arial" w:hAnsi="Arial" w:cs="Arial"/>
          <w:i/>
          <w:sz w:val="22"/>
          <w:szCs w:val="22"/>
        </w:rPr>
        <w:t xml:space="preserve"> </w:t>
      </w:r>
    </w:p>
    <w:p w14:paraId="1FE14EAA" w14:textId="36A4955B" w:rsidR="00C432F1" w:rsidRPr="00420D9D" w:rsidRDefault="004379A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Considerando que na solicitaç</w:t>
      </w:r>
      <w:r w:rsidR="008E50D2" w:rsidRPr="00420D9D">
        <w:rPr>
          <w:rFonts w:ascii="Arial" w:hAnsi="Arial" w:cs="Arial"/>
          <w:sz w:val="22"/>
          <w:szCs w:val="22"/>
        </w:rPr>
        <w:t>ão n. 213800, de egresso do Centro do Ensino Superior SOCIESC Jaraguá do Sul,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8E50D2" w:rsidRPr="00420D9D">
        <w:rPr>
          <w:rFonts w:ascii="Arial" w:hAnsi="Arial" w:cs="Arial"/>
          <w:sz w:val="22"/>
          <w:szCs w:val="22"/>
        </w:rPr>
        <w:t>foi apresentado o certificado de conclusão de curso</w:t>
      </w:r>
      <w:r w:rsidR="003743F2" w:rsidRPr="00420D9D">
        <w:rPr>
          <w:rFonts w:ascii="Arial" w:hAnsi="Arial" w:cs="Arial"/>
          <w:sz w:val="22"/>
          <w:szCs w:val="22"/>
        </w:rPr>
        <w:t xml:space="preserve"> </w:t>
      </w:r>
      <w:r w:rsidR="008E50D2" w:rsidRPr="00420D9D">
        <w:rPr>
          <w:rFonts w:ascii="Arial" w:hAnsi="Arial" w:cs="Arial"/>
          <w:sz w:val="22"/>
          <w:szCs w:val="22"/>
        </w:rPr>
        <w:t>e que a data de colação já passa de um ano;</w:t>
      </w:r>
    </w:p>
    <w:p w14:paraId="49E36AAA" w14:textId="64AF5214" w:rsidR="00C432F1" w:rsidRPr="00420D9D" w:rsidRDefault="00C432F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Considerando o § 2ºA do art. 5º da Resolução nº 18 CAU/BR: </w:t>
      </w:r>
      <w:r w:rsidRPr="00420D9D">
        <w:rPr>
          <w:rFonts w:ascii="Arial" w:hAnsi="Arial" w:cs="Arial"/>
          <w:i/>
          <w:sz w:val="22"/>
          <w:szCs w:val="22"/>
        </w:rPr>
        <w:t>“2°-A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ensino”;</w:t>
      </w:r>
    </w:p>
    <w:p w14:paraId="18666E90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107EE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2CAC4279" w14:textId="77777777"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</w:t>
      </w:r>
      <w:r w:rsidRPr="00107EE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107EEC">
        <w:rPr>
          <w:rFonts w:ascii="Arial" w:hAnsi="Arial" w:cs="Arial"/>
          <w:sz w:val="22"/>
          <w:szCs w:val="22"/>
        </w:rPr>
        <w:t>: “</w:t>
      </w:r>
      <w:r w:rsidRPr="00107EE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07EEC">
        <w:rPr>
          <w:rFonts w:ascii="Arial" w:hAnsi="Arial" w:cs="Arial"/>
          <w:sz w:val="22"/>
          <w:szCs w:val="22"/>
        </w:rPr>
        <w:t>”;</w:t>
      </w:r>
    </w:p>
    <w:p w14:paraId="677EE7F8" w14:textId="77777777" w:rsidR="00EC292E" w:rsidRDefault="00107E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A960CA5" w14:textId="77777777" w:rsidR="00A7180F" w:rsidRPr="00107EEC" w:rsidRDefault="00A718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6FD52E" w14:textId="77777777" w:rsidR="00A7180F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DELIBERA:</w:t>
      </w:r>
    </w:p>
    <w:p w14:paraId="12522B3E" w14:textId="77777777" w:rsidR="00EC292E" w:rsidRPr="00107EEC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</w:t>
      </w:r>
    </w:p>
    <w:p w14:paraId="7551A1B7" w14:textId="77777777" w:rsidR="00EC292E" w:rsidRPr="00420D9D" w:rsidRDefault="00107EEC">
      <w:pPr>
        <w:spacing w:before="120" w:after="120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1 -</w:t>
      </w:r>
      <w:r w:rsidRPr="00420D9D">
        <w:rPr>
          <w:rFonts w:ascii="Arial" w:hAnsi="Arial" w:cs="Arial"/>
          <w:b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>Aprovar o registro em caráter DEFINITIVO de:</w:t>
      </w:r>
    </w:p>
    <w:tbl>
      <w:tblPr>
        <w:tblW w:w="1258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410"/>
        <w:gridCol w:w="709"/>
        <w:gridCol w:w="2538"/>
        <w:gridCol w:w="3464"/>
      </w:tblGrid>
      <w:tr w:rsidR="00420D9D" w:rsidRPr="00420D9D" w14:paraId="73AD154F" w14:textId="77777777" w:rsidTr="00F43458">
        <w:trPr>
          <w:gridAfter w:val="1"/>
          <w:wAfter w:w="3464" w:type="dxa"/>
          <w:trHeight w:val="300"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57B5F286" w14:textId="77777777" w:rsidR="00F17860" w:rsidRPr="00420D9D" w:rsidRDefault="00F17860" w:rsidP="00CC23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7A25E10F" w14:textId="77777777" w:rsidR="00F17860" w:rsidRPr="00420D9D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1A37E93F" w14:textId="77777777" w:rsidR="00F17860" w:rsidRPr="00420D9D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6DFBE5D5" w14:textId="77777777" w:rsidR="00F17860" w:rsidRPr="00420D9D" w:rsidRDefault="00F17860" w:rsidP="00CC23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420D9D" w:rsidRPr="00420D9D" w14:paraId="28F050F1" w14:textId="77777777" w:rsidTr="00F43458">
        <w:trPr>
          <w:gridAfter w:val="1"/>
          <w:wAfter w:w="3464" w:type="dxa"/>
          <w:trHeight w:val="72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F48" w14:textId="7CA9D799" w:rsidR="003827CD" w:rsidRPr="00420D9D" w:rsidRDefault="003827CD" w:rsidP="00CC23B6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VALDIR DUARTE GRELLERT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27E" w14:textId="5EC54589" w:rsidR="003827CD" w:rsidRPr="00420D9D" w:rsidRDefault="003827CD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UNIBTA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6D8" w14:textId="09B80863" w:rsidR="003827CD" w:rsidRPr="00420D9D" w:rsidRDefault="003827CD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C09" w14:textId="160CC95F" w:rsidR="003827CD" w:rsidRPr="00420D9D" w:rsidRDefault="003827CD" w:rsidP="00FA03F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20D9D">
              <w:rPr>
                <w:rFonts w:ascii="Arial" w:hAnsi="Arial" w:cs="Arial"/>
                <w:sz w:val="18"/>
                <w:szCs w:val="18"/>
              </w:rPr>
              <w:t>Reconhecimento do curso pela Portaria nº 178, de 06/05/2024</w:t>
            </w:r>
          </w:p>
        </w:tc>
      </w:tr>
      <w:tr w:rsidR="00420D9D" w:rsidRPr="00420D9D" w14:paraId="54CA655D" w14:textId="77777777" w:rsidTr="00F43458">
        <w:trPr>
          <w:gridAfter w:val="1"/>
          <w:wAfter w:w="3464" w:type="dxa"/>
          <w:trHeight w:val="69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8C7" w14:textId="10C5D9EB" w:rsidR="003827CD" w:rsidRPr="00420D9D" w:rsidRDefault="003827CD" w:rsidP="009E46E8">
            <w:pPr>
              <w:widowControl w:val="0"/>
              <w:suppressAutoHyphens w:val="0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HENRIQUE DE SOUZA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A04" w14:textId="77777777" w:rsidR="003827CD" w:rsidRPr="00420D9D" w:rsidRDefault="003827CD" w:rsidP="008340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5856" w14:textId="77777777" w:rsidR="003827CD" w:rsidRPr="00420D9D" w:rsidRDefault="003827CD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D84" w14:textId="77777777" w:rsidR="003827CD" w:rsidRPr="00420D9D" w:rsidRDefault="003827CD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43458" w:rsidRPr="00420D9D" w14:paraId="24BA8D97" w14:textId="2C6C032E" w:rsidTr="00F43458">
        <w:trPr>
          <w:trHeight w:val="39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C4B5" w14:textId="23C601BD" w:rsidR="00F43458" w:rsidRPr="00420D9D" w:rsidRDefault="00F43458" w:rsidP="00F43458">
            <w:pPr>
              <w:widowControl w:val="0"/>
              <w:suppressAutoHyphens w:val="0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6C5" w14:textId="77777777" w:rsidR="00F43458" w:rsidRPr="00420D9D" w:rsidRDefault="00F43458" w:rsidP="00F434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C684" w14:textId="77777777" w:rsidR="00F43458" w:rsidRPr="00420D9D" w:rsidRDefault="00F43458" w:rsidP="00F4345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C5A" w14:textId="77777777" w:rsidR="00F43458" w:rsidRPr="00420D9D" w:rsidRDefault="00F43458" w:rsidP="00F43458">
            <w:pPr>
              <w:widowControl w:val="0"/>
              <w:suppressAutoHyphens w:val="0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3464" w:type="dxa"/>
            <w:vAlign w:val="center"/>
          </w:tcPr>
          <w:p w14:paraId="46C2BDB9" w14:textId="77777777" w:rsidR="00F43458" w:rsidRPr="00420D9D" w:rsidRDefault="00F43458" w:rsidP="00F43458"/>
        </w:tc>
      </w:tr>
    </w:tbl>
    <w:p w14:paraId="0F0552F7" w14:textId="77777777" w:rsidR="004379A8" w:rsidRPr="00420D9D" w:rsidRDefault="004379A8">
      <w:pPr>
        <w:jc w:val="both"/>
        <w:rPr>
          <w:rFonts w:ascii="Arial" w:hAnsi="Arial" w:cs="Arial"/>
          <w:sz w:val="22"/>
          <w:szCs w:val="22"/>
        </w:rPr>
      </w:pPr>
    </w:p>
    <w:p w14:paraId="4BBA35A8" w14:textId="6AC36249" w:rsidR="009E46E8" w:rsidRPr="00420D9D" w:rsidRDefault="009E46E8" w:rsidP="009E46E8">
      <w:pPr>
        <w:spacing w:before="120" w:after="120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2 -</w:t>
      </w:r>
      <w:r w:rsidRPr="00420D9D">
        <w:rPr>
          <w:rFonts w:ascii="Arial" w:hAnsi="Arial" w:cs="Arial"/>
          <w:b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>Aprovar o registro em caráter PROVISÓRIO de:</w:t>
      </w:r>
    </w:p>
    <w:tbl>
      <w:tblPr>
        <w:tblW w:w="91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410"/>
        <w:gridCol w:w="709"/>
        <w:gridCol w:w="2538"/>
      </w:tblGrid>
      <w:tr w:rsidR="00420D9D" w:rsidRPr="00420D9D" w14:paraId="125F5B59" w14:textId="77777777" w:rsidTr="007D4A19">
        <w:trPr>
          <w:trHeight w:val="300"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1A94626" w14:textId="77777777" w:rsidR="009E46E8" w:rsidRPr="00420D9D" w:rsidRDefault="009E46E8" w:rsidP="007D4A1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15F4EAA9" w14:textId="77777777" w:rsidR="009E46E8" w:rsidRPr="00420D9D" w:rsidRDefault="009E46E8" w:rsidP="007D4A1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6FDB1A7A" w14:textId="77777777" w:rsidR="009E46E8" w:rsidRPr="00420D9D" w:rsidRDefault="009E46E8" w:rsidP="007D4A1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14:paraId="4393A64B" w14:textId="77777777" w:rsidR="009E46E8" w:rsidRPr="00420D9D" w:rsidRDefault="009E46E8" w:rsidP="007D4A1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9E46E8" w:rsidRPr="00420D9D" w14:paraId="6335226C" w14:textId="77777777" w:rsidTr="007D4A19">
        <w:trPr>
          <w:trHeight w:val="120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1F79" w14:textId="3DC83628" w:rsidR="009E46E8" w:rsidRPr="00420D9D" w:rsidRDefault="009E46E8" w:rsidP="007D4A19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AUGUSTO NIEDZIELSKI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635D" w14:textId="5069BBB6" w:rsidR="009E46E8" w:rsidRPr="00420D9D" w:rsidRDefault="008F1841" w:rsidP="007D4A1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DE ENSINO SUPERIOR SOCIESC DE JARAGUÁ DO SUL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AABE" w14:textId="77777777" w:rsidR="009E46E8" w:rsidRPr="00420D9D" w:rsidRDefault="009E46E8" w:rsidP="007D4A1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318F" w14:textId="26DA29FC" w:rsidR="009E46E8" w:rsidRPr="00420D9D" w:rsidRDefault="008F1841" w:rsidP="007D4A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Deliberação n° 039/2023 - CEF-CAU/BR. Processo de Reconhecimento em análise: 202304892.</w:t>
            </w:r>
          </w:p>
        </w:tc>
      </w:tr>
    </w:tbl>
    <w:p w14:paraId="68B2D36F" w14:textId="77777777" w:rsidR="009E46E8" w:rsidRPr="00420D9D" w:rsidRDefault="009E46E8">
      <w:pPr>
        <w:jc w:val="both"/>
        <w:rPr>
          <w:rFonts w:ascii="Arial" w:hAnsi="Arial" w:cs="Arial"/>
          <w:sz w:val="22"/>
          <w:szCs w:val="22"/>
        </w:rPr>
      </w:pPr>
    </w:p>
    <w:p w14:paraId="79BB276B" w14:textId="0617B438" w:rsidR="006660E7" w:rsidRPr="00420D9D" w:rsidRDefault="008F1841">
      <w:pPr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3 – Solicitar à CEF-CAU/BR reconsideração</w:t>
      </w:r>
      <w:r w:rsidR="001E49FC" w:rsidRPr="00420D9D">
        <w:rPr>
          <w:rFonts w:ascii="Arial" w:hAnsi="Arial" w:cs="Arial"/>
          <w:sz w:val="22"/>
          <w:szCs w:val="22"/>
        </w:rPr>
        <w:t>,</w:t>
      </w:r>
      <w:r w:rsidRPr="00420D9D">
        <w:rPr>
          <w:rFonts w:ascii="Arial" w:hAnsi="Arial" w:cs="Arial"/>
          <w:sz w:val="22"/>
          <w:szCs w:val="22"/>
        </w:rPr>
        <w:t xml:space="preserve"> para que seja feito o</w:t>
      </w:r>
      <w:r w:rsidR="008E50D2" w:rsidRPr="00420D9D">
        <w:rPr>
          <w:rFonts w:ascii="Arial" w:hAnsi="Arial" w:cs="Arial"/>
          <w:sz w:val="22"/>
          <w:szCs w:val="22"/>
        </w:rPr>
        <w:t xml:space="preserve"> cálculo </w:t>
      </w:r>
      <w:r w:rsidRPr="00420D9D">
        <w:rPr>
          <w:rFonts w:ascii="Arial" w:hAnsi="Arial" w:cs="Arial"/>
          <w:sz w:val="22"/>
          <w:szCs w:val="22"/>
        </w:rPr>
        <w:t>de tempestividade da UNISUL I</w:t>
      </w:r>
      <w:r w:rsidR="008E50D2" w:rsidRPr="00420D9D">
        <w:rPr>
          <w:rFonts w:ascii="Arial" w:hAnsi="Arial" w:cs="Arial"/>
          <w:sz w:val="22"/>
          <w:szCs w:val="22"/>
        </w:rPr>
        <w:t>tajaí</w:t>
      </w:r>
      <w:r w:rsidRPr="00420D9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20D9D">
        <w:rPr>
          <w:rFonts w:ascii="Arial" w:hAnsi="Arial" w:cs="Arial"/>
          <w:sz w:val="22"/>
          <w:szCs w:val="22"/>
        </w:rPr>
        <w:t>e-MEC</w:t>
      </w:r>
      <w:proofErr w:type="spellEnd"/>
      <w:r w:rsidRPr="00420D9D">
        <w:rPr>
          <w:rFonts w:ascii="Arial" w:hAnsi="Arial" w:cs="Arial"/>
          <w:sz w:val="22"/>
          <w:szCs w:val="22"/>
        </w:rPr>
        <w:t xml:space="preserve"> 1411907);</w:t>
      </w:r>
    </w:p>
    <w:p w14:paraId="6063C23B" w14:textId="77777777" w:rsidR="006660E7" w:rsidRPr="00420D9D" w:rsidRDefault="006660E7">
      <w:pPr>
        <w:jc w:val="both"/>
        <w:rPr>
          <w:rFonts w:ascii="Arial" w:hAnsi="Arial" w:cs="Arial"/>
          <w:strike/>
          <w:sz w:val="22"/>
          <w:szCs w:val="22"/>
        </w:rPr>
      </w:pPr>
    </w:p>
    <w:p w14:paraId="4909A1F4" w14:textId="25EDC05C" w:rsidR="00EC292E" w:rsidRPr="00420D9D" w:rsidRDefault="00034B76">
      <w:pPr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4</w:t>
      </w:r>
      <w:r w:rsidR="00107EEC" w:rsidRPr="00420D9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1196F831" w14:textId="77777777" w:rsidR="00EC292E" w:rsidRDefault="00EC292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9DFAB8" w14:textId="77777777" w:rsidR="00420D9D" w:rsidRDefault="00420D9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CD1902" w14:textId="77777777" w:rsidR="00420D9D" w:rsidRPr="00107EEC" w:rsidRDefault="00420D9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BC2E83" w14:textId="0FFF31AE" w:rsidR="00EC292E" w:rsidRDefault="00107EEC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Florianópolis, </w:t>
      </w:r>
      <w:r w:rsidR="006660E7">
        <w:rPr>
          <w:rFonts w:ascii="Arial" w:hAnsi="Arial" w:cs="Arial"/>
          <w:sz w:val="22"/>
          <w:szCs w:val="22"/>
        </w:rPr>
        <w:t>22</w:t>
      </w:r>
      <w:r w:rsidRPr="00107EEC">
        <w:rPr>
          <w:rFonts w:ascii="Arial" w:hAnsi="Arial" w:cs="Arial"/>
          <w:sz w:val="22"/>
          <w:szCs w:val="22"/>
        </w:rPr>
        <w:t xml:space="preserve"> de</w:t>
      </w:r>
      <w:r w:rsidR="006660E7">
        <w:rPr>
          <w:rFonts w:ascii="Arial" w:hAnsi="Arial" w:cs="Arial"/>
          <w:sz w:val="22"/>
          <w:szCs w:val="22"/>
        </w:rPr>
        <w:t xml:space="preserve"> maio</w:t>
      </w:r>
      <w:r w:rsidRPr="00107EEC">
        <w:rPr>
          <w:rFonts w:ascii="Arial" w:hAnsi="Arial" w:cs="Arial"/>
          <w:sz w:val="22"/>
          <w:szCs w:val="22"/>
        </w:rPr>
        <w:t xml:space="preserve"> de 2024</w:t>
      </w:r>
      <w:r w:rsidR="0020383F">
        <w:rPr>
          <w:rFonts w:ascii="Arial" w:hAnsi="Arial" w:cs="Arial"/>
          <w:sz w:val="22"/>
          <w:szCs w:val="22"/>
        </w:rPr>
        <w:t xml:space="preserve">. </w:t>
      </w:r>
    </w:p>
    <w:p w14:paraId="39515911" w14:textId="77777777" w:rsidR="00DF0E89" w:rsidRPr="00107EEC" w:rsidRDefault="00DF0E89">
      <w:pPr>
        <w:jc w:val="center"/>
        <w:rPr>
          <w:rFonts w:ascii="Arial" w:hAnsi="Arial" w:cs="Arial"/>
          <w:sz w:val="22"/>
          <w:szCs w:val="22"/>
        </w:rPr>
      </w:pPr>
    </w:p>
    <w:p w14:paraId="00D2B639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</w:rPr>
      </w:pPr>
    </w:p>
    <w:p w14:paraId="2EA56267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14:paraId="19BCDE04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14:paraId="7D9E0133" w14:textId="77777777" w:rsidR="00EC292E" w:rsidRDefault="00EC292E">
      <w:pPr>
        <w:jc w:val="center"/>
        <w:rPr>
          <w:rFonts w:ascii="Arial" w:hAnsi="Arial" w:cs="Arial"/>
          <w:b/>
          <w:sz w:val="22"/>
          <w:szCs w:val="22"/>
        </w:rPr>
      </w:pPr>
    </w:p>
    <w:p w14:paraId="6EBA1A13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0CA1111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2E01E291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3A9528C5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3AF15EED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44234F40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47B90729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63A84053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6CB7AE3E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7E0344B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27A284A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715AE58E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1028CE1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7E7AC2CC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405989F8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73DF47A1" w14:textId="77777777" w:rsidR="00E27D13" w:rsidRDefault="00E27D13">
      <w:pPr>
        <w:jc w:val="center"/>
        <w:rPr>
          <w:rFonts w:ascii="Arial" w:hAnsi="Arial" w:cs="Arial"/>
          <w:b/>
          <w:sz w:val="22"/>
          <w:szCs w:val="22"/>
        </w:rPr>
      </w:pPr>
    </w:p>
    <w:p w14:paraId="4429621E" w14:textId="77777777" w:rsidR="00EC292E" w:rsidRPr="00107EEC" w:rsidRDefault="00107EEC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2A5DEE3" w14:textId="38638E2D" w:rsidR="00EC292E" w:rsidRDefault="00EC292E">
      <w:pPr>
        <w:jc w:val="both"/>
        <w:rPr>
          <w:rFonts w:ascii="Arial" w:hAnsi="Arial" w:cs="Arial"/>
          <w:bCs/>
          <w:sz w:val="22"/>
          <w:szCs w:val="22"/>
        </w:rPr>
      </w:pPr>
    </w:p>
    <w:p w14:paraId="5E52263E" w14:textId="6636FE7D" w:rsidR="0020383F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66CDDEB2" w14:textId="77777777" w:rsidR="0020383F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31F52D3F" w14:textId="56B61795" w:rsidR="0020383F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66D16378" w14:textId="77777777" w:rsidR="0020383F" w:rsidRPr="00107EEC" w:rsidRDefault="0020383F">
      <w:pPr>
        <w:jc w:val="both"/>
        <w:rPr>
          <w:rFonts w:ascii="Arial" w:hAnsi="Arial" w:cs="Arial"/>
          <w:bCs/>
          <w:sz w:val="22"/>
          <w:szCs w:val="22"/>
        </w:rPr>
      </w:pPr>
    </w:p>
    <w:p w14:paraId="3064509B" w14:textId="77777777" w:rsidR="00EC292E" w:rsidRPr="00107EEC" w:rsidRDefault="00107EEC" w:rsidP="001D3A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13750F3F" w14:textId="77777777" w:rsidR="00EC292E" w:rsidRPr="00107EEC" w:rsidRDefault="00107EEC" w:rsidP="001D3A1F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14:paraId="0CD6B291" w14:textId="77777777" w:rsidR="00EC292E" w:rsidRPr="00107EEC" w:rsidRDefault="00107EEC" w:rsidP="001D3A1F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14:paraId="238D0D84" w14:textId="61D0000C" w:rsidR="00EC292E" w:rsidRPr="00107EEC" w:rsidRDefault="00FA6C1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07EEC" w:rsidRPr="00107EEC">
        <w:rPr>
          <w:rFonts w:ascii="Arial" w:hAnsi="Arial" w:cs="Arial"/>
          <w:b/>
          <w:sz w:val="22"/>
          <w:szCs w:val="22"/>
        </w:rPr>
        <w:t>ª</w:t>
      </w:r>
      <w:r w:rsidR="00107EEC"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107EEC"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754C3433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77B9206" w14:textId="77777777" w:rsidR="00EC292E" w:rsidRPr="00107EEC" w:rsidRDefault="00107E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A9DAFA5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C292E" w:rsidRPr="00107EEC" w14:paraId="0568FDD8" w14:textId="7777777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82102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74248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46CE67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292E" w:rsidRPr="00107EEC" w14:paraId="29E5D831" w14:textId="77777777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F254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567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AD7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2B03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CD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F0CF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C292E" w:rsidRPr="00107EEC" w14:paraId="4D41E2E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A3A2F8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F5C3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40272" w14:textId="20CAA0AA" w:rsidR="00EC292E" w:rsidRPr="00107EEC" w:rsidRDefault="00F4345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EA9A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0E53A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AB7F5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6108FDE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A9D89B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B0B6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732071" w14:textId="290D168B" w:rsidR="00EC292E" w:rsidRPr="00107EEC" w:rsidRDefault="00F4345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B05F3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41F52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7DFF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720EE28F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101263D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C928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Aline </w:t>
            </w:r>
            <w:proofErr w:type="spellStart"/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Eyng</w:t>
            </w:r>
            <w:proofErr w:type="spellEnd"/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45B296" w14:textId="78B9FA98" w:rsidR="00EC292E" w:rsidRPr="00107EEC" w:rsidRDefault="00F4345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E1010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F14FE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92E2A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5FB37BB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0166E60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3E67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Karol Diego </w:t>
            </w:r>
            <w:proofErr w:type="spellStart"/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Carminatti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87D3FA" w14:textId="3A382749" w:rsidR="00EC292E" w:rsidRPr="00107EEC" w:rsidRDefault="00F4345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DC0080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0C10E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F0748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2AE4DD8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39E147E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E6A9" w14:textId="57A343C3" w:rsidR="00EC292E" w:rsidRPr="00107EEC" w:rsidRDefault="00F43458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Maria Luiza Nunes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91C6C6" w14:textId="59B714E3" w:rsidR="00EC292E" w:rsidRPr="00107EEC" w:rsidRDefault="00F4345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836A8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9B8E25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902F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B38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C292E" w:rsidRPr="00107EEC" w14:paraId="45B6B23A" w14:textId="77777777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D988C3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9607D6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92E" w:rsidRPr="00107EEC" w14:paraId="110CD84D" w14:textId="77777777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E0398F" w14:textId="7408D496" w:rsidR="00EC292E" w:rsidRPr="00107EEC" w:rsidRDefault="00107EEC" w:rsidP="000929E6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0929E6">
              <w:rPr>
                <w:rFonts w:ascii="Arial" w:hAnsi="Arial" w:cs="Arial"/>
                <w:sz w:val="22"/>
                <w:szCs w:val="22"/>
              </w:rPr>
              <w:t>5</w:t>
            </w:r>
            <w:r w:rsidRPr="00107EEC">
              <w:rPr>
                <w:rFonts w:ascii="Arial" w:hAnsi="Arial" w:cs="Arial"/>
                <w:sz w:val="22"/>
                <w:szCs w:val="22"/>
              </w:rPr>
              <w:t>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EC292E" w:rsidRPr="00107EEC" w14:paraId="10C90C94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D2C20A" w14:textId="210890CD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929E6">
              <w:rPr>
                <w:rFonts w:ascii="Arial" w:hAnsi="Arial" w:cs="Arial"/>
                <w:sz w:val="22"/>
                <w:szCs w:val="22"/>
              </w:rPr>
              <w:t>22/05</w:t>
            </w:r>
            <w:r w:rsidR="00DF0E89">
              <w:rPr>
                <w:rFonts w:ascii="Arial" w:hAnsi="Arial" w:cs="Arial"/>
                <w:sz w:val="22"/>
                <w:szCs w:val="22"/>
              </w:rPr>
              <w:t>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6AB8B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D68CC" w14:textId="44530CCD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B476C" w:rsidRPr="00036D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de registro de egressos de cursos que ainda não formaram sua primeira turma</w:t>
            </w:r>
          </w:p>
          <w:p w14:paraId="17EA40E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1C0107EC" w14:textId="77777777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F44CC1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314A6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34464930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99B7C8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A2C65B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0C13C15B" w14:textId="77777777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2830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F18FC5B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 xml:space="preserve">Administrativo Eduardo </w:t>
            </w:r>
            <w:proofErr w:type="spellStart"/>
            <w:r w:rsidRPr="00107EEC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107EEC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0C9608F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31118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CED6871" w14:textId="77777777" w:rsidR="00EC292E" w:rsidRPr="00107EEC" w:rsidRDefault="00EC292E">
      <w:pPr>
        <w:pStyle w:val="ListParagraph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C292E" w:rsidRPr="0010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E88B4" w14:textId="77777777" w:rsidR="007411DB" w:rsidRDefault="00107EEC">
      <w:r>
        <w:separator/>
      </w:r>
    </w:p>
  </w:endnote>
  <w:endnote w:type="continuationSeparator" w:id="0">
    <w:p w14:paraId="3357EEB9" w14:textId="77777777" w:rsidR="007411DB" w:rsidRDefault="001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EB73" w14:textId="77777777" w:rsidR="00EC292E" w:rsidRDefault="00107EEC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SCN Qd.01, Bloco E, Ed. Central Park, Salas 302/303 | CEP: 70711 - 903 Brasília/DF | Tel.: (61) 3326 - 2272 / </w:t>
    </w:r>
    <w:proofErr w:type="gramStart"/>
    <w:r>
      <w:rPr>
        <w:rFonts w:ascii="Arial" w:hAnsi="Arial"/>
        <w:color w:val="003333"/>
        <w:sz w:val="16"/>
      </w:rPr>
      <w:t>2297  -</w:t>
    </w:r>
    <w:proofErr w:type="gramEnd"/>
    <w:r>
      <w:rPr>
        <w:rFonts w:ascii="Arial" w:hAnsi="Arial"/>
        <w:color w:val="003333"/>
        <w:sz w:val="16"/>
      </w:rPr>
      <w:t xml:space="preserve">  3328 - 5632 / 5946</w:t>
    </w:r>
  </w:p>
  <w:p w14:paraId="5C448C4B" w14:textId="77777777" w:rsidR="00EC292E" w:rsidRDefault="00107EEC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2534849"/>
      <w:docPartObj>
        <w:docPartGallery w:val="Page Numbers (Bottom of Page)"/>
        <w:docPartUnique/>
      </w:docPartObj>
    </w:sdtPr>
    <w:sdtEndPr/>
    <w:sdtContent>
      <w:p w14:paraId="087C5841" w14:textId="06A9D961" w:rsidR="00EC292E" w:rsidRDefault="00107EE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0B50">
          <w:rPr>
            <w:rFonts w:ascii="Arial" w:hAnsi="Arial" w:cs="Arial"/>
            <w:bCs/>
            <w:noProof/>
            <w:sz w:val="18"/>
            <w:szCs w:val="18"/>
          </w:rPr>
          <w:t>2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0B50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25525CA7" w14:textId="77777777" w:rsidR="00EC292E" w:rsidRDefault="00107EEC">
    <w:pPr>
      <w:pStyle w:val="Footer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1537098"/>
      <w:docPartObj>
        <w:docPartGallery w:val="Page Numbers (Bottom of Page)"/>
        <w:docPartUnique/>
      </w:docPartObj>
    </w:sdtPr>
    <w:sdtEndPr/>
    <w:sdtContent>
      <w:p w14:paraId="4AF8B439" w14:textId="7FFB95BC" w:rsidR="00EC292E" w:rsidRDefault="00107EE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59D8">
          <w:rPr>
            <w:rFonts w:ascii="Arial" w:hAnsi="Arial" w:cs="Arial"/>
            <w:bCs/>
            <w:noProof/>
            <w:sz w:val="18"/>
            <w:szCs w:val="18"/>
          </w:rPr>
          <w:t>7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4226C0D4" w14:textId="77777777" w:rsidR="00EC292E" w:rsidRDefault="00107EEC">
    <w:pPr>
      <w:pStyle w:val="Footer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230C6" w14:textId="77777777" w:rsidR="007411DB" w:rsidRDefault="00107EEC">
      <w:r>
        <w:separator/>
      </w:r>
    </w:p>
  </w:footnote>
  <w:footnote w:type="continuationSeparator" w:id="0">
    <w:p w14:paraId="2CDEF196" w14:textId="77777777" w:rsidR="007411DB" w:rsidRDefault="001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7C61" w14:textId="77777777" w:rsidR="00EC292E" w:rsidRDefault="00107EEC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 wp14:anchorId="5D618AB8" wp14:editId="0213A50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 wp14:anchorId="46AE3AB5" wp14:editId="250F0A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B6117" w14:textId="77777777" w:rsidR="00EC292E" w:rsidRDefault="00107EEC">
    <w:pPr>
      <w:pStyle w:val="Head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 wp14:anchorId="4D1A3072" wp14:editId="00C160D5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F6115" w14:textId="77777777" w:rsidR="00EC292E" w:rsidRDefault="00107EEC">
    <w:pPr>
      <w:pStyle w:val="Head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 wp14:anchorId="15AC6F92" wp14:editId="1341039E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3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2E"/>
    <w:rsid w:val="000307F6"/>
    <w:rsid w:val="00034B76"/>
    <w:rsid w:val="00036D5F"/>
    <w:rsid w:val="00066615"/>
    <w:rsid w:val="00086DC8"/>
    <w:rsid w:val="000929E6"/>
    <w:rsid w:val="000B7874"/>
    <w:rsid w:val="000C2E7F"/>
    <w:rsid w:val="000F4977"/>
    <w:rsid w:val="001063ED"/>
    <w:rsid w:val="00107EEC"/>
    <w:rsid w:val="0012508D"/>
    <w:rsid w:val="001358B8"/>
    <w:rsid w:val="001605DE"/>
    <w:rsid w:val="00161195"/>
    <w:rsid w:val="00163217"/>
    <w:rsid w:val="00190DCD"/>
    <w:rsid w:val="001912ED"/>
    <w:rsid w:val="00191F6B"/>
    <w:rsid w:val="001A5A52"/>
    <w:rsid w:val="001D3A1F"/>
    <w:rsid w:val="001E21B5"/>
    <w:rsid w:val="001E49FC"/>
    <w:rsid w:val="0020383F"/>
    <w:rsid w:val="002061B7"/>
    <w:rsid w:val="002116B8"/>
    <w:rsid w:val="00225E54"/>
    <w:rsid w:val="00236A01"/>
    <w:rsid w:val="002821D2"/>
    <w:rsid w:val="002B476C"/>
    <w:rsid w:val="002D4634"/>
    <w:rsid w:val="00331056"/>
    <w:rsid w:val="00335895"/>
    <w:rsid w:val="003524ED"/>
    <w:rsid w:val="00363DBE"/>
    <w:rsid w:val="003743F2"/>
    <w:rsid w:val="003827CD"/>
    <w:rsid w:val="00391D26"/>
    <w:rsid w:val="003A44AE"/>
    <w:rsid w:val="003D2353"/>
    <w:rsid w:val="00415C58"/>
    <w:rsid w:val="00420D9D"/>
    <w:rsid w:val="004379A8"/>
    <w:rsid w:val="00455F2B"/>
    <w:rsid w:val="00516A02"/>
    <w:rsid w:val="005207D7"/>
    <w:rsid w:val="00535D4A"/>
    <w:rsid w:val="0054300B"/>
    <w:rsid w:val="00557BBB"/>
    <w:rsid w:val="00567452"/>
    <w:rsid w:val="005706A1"/>
    <w:rsid w:val="00581B6E"/>
    <w:rsid w:val="005969A6"/>
    <w:rsid w:val="005A6CCD"/>
    <w:rsid w:val="005D75CF"/>
    <w:rsid w:val="005F2238"/>
    <w:rsid w:val="00621A94"/>
    <w:rsid w:val="0063706D"/>
    <w:rsid w:val="00664587"/>
    <w:rsid w:val="006660E7"/>
    <w:rsid w:val="00680984"/>
    <w:rsid w:val="00687B72"/>
    <w:rsid w:val="006926D1"/>
    <w:rsid w:val="006C6113"/>
    <w:rsid w:val="007269A5"/>
    <w:rsid w:val="007411DB"/>
    <w:rsid w:val="00775950"/>
    <w:rsid w:val="007979F5"/>
    <w:rsid w:val="007B456B"/>
    <w:rsid w:val="007D298A"/>
    <w:rsid w:val="008340E3"/>
    <w:rsid w:val="00851A0A"/>
    <w:rsid w:val="008678F1"/>
    <w:rsid w:val="008A2F87"/>
    <w:rsid w:val="008C1774"/>
    <w:rsid w:val="008C454D"/>
    <w:rsid w:val="008E4FA5"/>
    <w:rsid w:val="008E50D2"/>
    <w:rsid w:val="008F1841"/>
    <w:rsid w:val="008F60F0"/>
    <w:rsid w:val="009502DA"/>
    <w:rsid w:val="009D3212"/>
    <w:rsid w:val="009E46E8"/>
    <w:rsid w:val="00A17BD4"/>
    <w:rsid w:val="00A25667"/>
    <w:rsid w:val="00A459D8"/>
    <w:rsid w:val="00A62A9E"/>
    <w:rsid w:val="00A65EAE"/>
    <w:rsid w:val="00A7180F"/>
    <w:rsid w:val="00A82CCC"/>
    <w:rsid w:val="00AA1637"/>
    <w:rsid w:val="00AC2AD0"/>
    <w:rsid w:val="00AD255D"/>
    <w:rsid w:val="00B20F2C"/>
    <w:rsid w:val="00B47094"/>
    <w:rsid w:val="00B57CD5"/>
    <w:rsid w:val="00B91C73"/>
    <w:rsid w:val="00C12FCE"/>
    <w:rsid w:val="00C432F1"/>
    <w:rsid w:val="00C93011"/>
    <w:rsid w:val="00CA23BC"/>
    <w:rsid w:val="00CB1B2B"/>
    <w:rsid w:val="00D2219C"/>
    <w:rsid w:val="00D56BB9"/>
    <w:rsid w:val="00D57025"/>
    <w:rsid w:val="00D828AB"/>
    <w:rsid w:val="00D97F0F"/>
    <w:rsid w:val="00DC05AB"/>
    <w:rsid w:val="00DF0E89"/>
    <w:rsid w:val="00E20B50"/>
    <w:rsid w:val="00E27D13"/>
    <w:rsid w:val="00E572CE"/>
    <w:rsid w:val="00EC292E"/>
    <w:rsid w:val="00ED4262"/>
    <w:rsid w:val="00EF0372"/>
    <w:rsid w:val="00F17860"/>
    <w:rsid w:val="00F24A11"/>
    <w:rsid w:val="00F43458"/>
    <w:rsid w:val="00F66521"/>
    <w:rsid w:val="00F70630"/>
    <w:rsid w:val="00F94D7F"/>
    <w:rsid w:val="00FA03F0"/>
    <w:rsid w:val="00FA584C"/>
    <w:rsid w:val="00FA5CF0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0AA"/>
  <w15:docId w15:val="{E307A0C7-7DE3-4C83-966E-E5230CA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E8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FootnoteTextChar">
    <w:name w:val="Footnote Text Char"/>
    <w:link w:val="FootnoteText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PageNumber">
    <w:name w:val="page number"/>
    <w:uiPriority w:val="99"/>
    <w:unhideWhenUsed/>
    <w:qFormat/>
    <w:rsid w:val="000264CA"/>
  </w:style>
  <w:style w:type="character" w:styleId="LineNumber">
    <w:name w:val="line number"/>
    <w:uiPriority w:val="99"/>
    <w:semiHidden/>
    <w:unhideWhenUsed/>
    <w:qFormat/>
    <w:rsid w:val="000264CA"/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AA207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613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qFormat/>
    <w:rsid w:val="006928F4"/>
  </w:style>
  <w:style w:type="character" w:customStyle="1" w:styleId="eop">
    <w:name w:val="eop"/>
    <w:basedOn w:val="DefaultParagraphFont"/>
    <w:qFormat/>
    <w:rsid w:val="006928F4"/>
  </w:style>
  <w:style w:type="character" w:styleId="Hyperlink">
    <w:name w:val="Hyperlink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61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le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ui-provider">
    <w:name w:val="ui-provider"/>
    <w:basedOn w:val="DefaultParagraphFont"/>
    <w:rsid w:val="008C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8866-8420-4DA8-952D-71E749D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Eduardo Fontes</cp:lastModifiedBy>
  <cp:revision>80</cp:revision>
  <cp:lastPrinted>2024-05-29T14:21:00Z</cp:lastPrinted>
  <dcterms:created xsi:type="dcterms:W3CDTF">2024-04-15T13:29:00Z</dcterms:created>
  <dcterms:modified xsi:type="dcterms:W3CDTF">2024-05-29T14:22:00Z</dcterms:modified>
  <dc:language>pt-BR</dc:language>
</cp:coreProperties>
</file>