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7291"/>
      </w:tblGrid>
      <w:tr w:rsidR="009102E1" w:rsidRPr="009102E1" w14:paraId="5DBBA462" w14:textId="77777777" w:rsidTr="00F551CC">
        <w:trPr>
          <w:trHeight w:val="308"/>
        </w:trPr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599AF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B633" w14:textId="77777777"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102E1" w:rsidRPr="009102E1" w14:paraId="43ED12EA" w14:textId="77777777" w:rsidTr="00F551CC">
        <w:trPr>
          <w:trHeight w:val="30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E2623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BAB9" w14:textId="77777777" w:rsidR="009102E1" w:rsidRPr="009102E1" w:rsidRDefault="004E1213" w:rsidP="00734F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9102E1" w:rsidRPr="00761586" w14:paraId="1A279F2A" w14:textId="77777777" w:rsidTr="00F551CC">
        <w:trPr>
          <w:trHeight w:val="30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B8552" w14:textId="77777777" w:rsidR="009102E1" w:rsidRPr="00D242DA" w:rsidRDefault="002F6549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D242D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820A" w14:textId="140F1527" w:rsidR="009102E1" w:rsidRPr="00D242DA" w:rsidRDefault="00B05A5A" w:rsidP="000241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242DA">
              <w:rPr>
                <w:rFonts w:ascii="Arial" w:eastAsia="Calibri" w:hAnsi="Arial" w:cs="Arial"/>
                <w:sz w:val="22"/>
                <w:szCs w:val="22"/>
              </w:rPr>
              <w:t xml:space="preserve">Demolição Estaleiro Arataca </w:t>
            </w:r>
            <w:r w:rsidR="003E55B1" w:rsidRPr="00D242DA">
              <w:rPr>
                <w:rFonts w:ascii="Arial" w:eastAsia="Calibri" w:hAnsi="Arial" w:cs="Arial"/>
                <w:sz w:val="22"/>
                <w:szCs w:val="22"/>
              </w:rPr>
              <w:t>–</w:t>
            </w:r>
            <w:r w:rsidRPr="00D242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C808B8" w:rsidRPr="00D242DA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="003E55B1" w:rsidRPr="00D242DA">
              <w:rPr>
                <w:rFonts w:ascii="Arial" w:eastAsia="Calibri" w:hAnsi="Arial" w:cs="Arial"/>
                <w:sz w:val="22"/>
                <w:szCs w:val="22"/>
              </w:rPr>
              <w:t xml:space="preserve">tribuição para </w:t>
            </w:r>
            <w:r w:rsidR="00CB641C">
              <w:rPr>
                <w:rFonts w:ascii="Arial" w:eastAsia="Calibri" w:hAnsi="Arial" w:cs="Arial"/>
                <w:sz w:val="22"/>
                <w:szCs w:val="22"/>
              </w:rPr>
              <w:t>avaliação</w:t>
            </w:r>
            <w:r w:rsidR="003E55B1" w:rsidRPr="00D242DA">
              <w:rPr>
                <w:rFonts w:ascii="Arial" w:eastAsia="Calibri" w:hAnsi="Arial" w:cs="Arial"/>
                <w:sz w:val="22"/>
                <w:szCs w:val="22"/>
              </w:rPr>
              <w:t xml:space="preserve"> d</w:t>
            </w:r>
            <w:r w:rsidR="00CB641C">
              <w:rPr>
                <w:rFonts w:ascii="Arial" w:eastAsia="Calibri" w:hAnsi="Arial" w:cs="Arial"/>
                <w:sz w:val="22"/>
                <w:szCs w:val="22"/>
              </w:rPr>
              <w:t xml:space="preserve">e </w:t>
            </w:r>
            <w:r w:rsidR="003E55B1" w:rsidRPr="00D242DA">
              <w:rPr>
                <w:rFonts w:ascii="Arial" w:eastAsia="Calibri" w:hAnsi="Arial" w:cs="Arial"/>
                <w:sz w:val="22"/>
                <w:szCs w:val="22"/>
              </w:rPr>
              <w:t>patrimônio histórico.</w:t>
            </w:r>
          </w:p>
        </w:tc>
      </w:tr>
      <w:tr w:rsidR="009102E1" w:rsidRPr="00761586" w14:paraId="7F6584AB" w14:textId="77777777" w:rsidTr="00F551CC">
        <w:trPr>
          <w:trHeight w:val="12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673" w14:textId="77777777" w:rsidR="009102E1" w:rsidRPr="004E6CDF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32D3" w14:textId="77777777" w:rsidR="009102E1" w:rsidRPr="00C96663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</w:p>
        </w:tc>
      </w:tr>
      <w:tr w:rsidR="009102E1" w:rsidRPr="009102E1" w14:paraId="26218752" w14:textId="77777777" w:rsidTr="00F551CC">
        <w:trPr>
          <w:trHeight w:val="308"/>
        </w:trPr>
        <w:tc>
          <w:tcPr>
            <w:tcW w:w="9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9F80EA" w14:textId="4B2A126C" w:rsidR="009102E1" w:rsidRPr="009102E1" w:rsidRDefault="009102E1" w:rsidP="0074254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F87E6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547E3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74254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87</w:t>
            </w:r>
            <w:r w:rsidR="0002418D" w:rsidRPr="00347B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="000241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4E121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CEP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6F51276F" w14:textId="77777777" w:rsidR="009102E1" w:rsidRPr="009102E1" w:rsidRDefault="009102E1" w:rsidP="00A32CB6">
      <w:pPr>
        <w:jc w:val="both"/>
        <w:rPr>
          <w:rFonts w:ascii="Arial" w:hAnsi="Arial" w:cs="Arial"/>
          <w:sz w:val="22"/>
          <w:szCs w:val="22"/>
        </w:rPr>
      </w:pPr>
    </w:p>
    <w:p w14:paraId="588AC290" w14:textId="6E5D84FD" w:rsidR="009A131C" w:rsidRPr="009A131C" w:rsidRDefault="009A131C" w:rsidP="00F551CC">
      <w:pPr>
        <w:ind w:right="-7"/>
        <w:jc w:val="both"/>
        <w:rPr>
          <w:rFonts w:ascii="Arial" w:hAnsi="Arial" w:cs="Arial"/>
          <w:sz w:val="22"/>
          <w:szCs w:val="22"/>
        </w:rPr>
      </w:pPr>
      <w:r w:rsidRPr="009A131C">
        <w:rPr>
          <w:rFonts w:ascii="Arial" w:hAnsi="Arial" w:cs="Arial"/>
          <w:sz w:val="22"/>
          <w:szCs w:val="22"/>
        </w:rPr>
        <w:t>A COMISSÃO DE EXERCÍCIO PROF</w:t>
      </w:r>
      <w:r w:rsidR="0058409F">
        <w:rPr>
          <w:rFonts w:ascii="Arial" w:hAnsi="Arial" w:cs="Arial"/>
          <w:sz w:val="22"/>
          <w:szCs w:val="22"/>
        </w:rPr>
        <w:t>ISSIONAL – CEP-CAU/SC, reunida extrao</w:t>
      </w:r>
      <w:r w:rsidRPr="009A131C">
        <w:rPr>
          <w:rFonts w:ascii="Arial" w:hAnsi="Arial" w:cs="Arial"/>
          <w:sz w:val="22"/>
          <w:szCs w:val="22"/>
        </w:rPr>
        <w:t xml:space="preserve">rdinariamente de forma </w:t>
      </w:r>
      <w:r w:rsidR="0058409F">
        <w:rPr>
          <w:rFonts w:ascii="Arial" w:hAnsi="Arial" w:cs="Arial"/>
          <w:sz w:val="22"/>
          <w:szCs w:val="22"/>
        </w:rPr>
        <w:t>virtual</w:t>
      </w:r>
      <w:r w:rsidRPr="009A131C">
        <w:rPr>
          <w:rFonts w:ascii="Arial" w:hAnsi="Arial" w:cs="Arial"/>
          <w:sz w:val="22"/>
          <w:szCs w:val="22"/>
        </w:rPr>
        <w:t xml:space="preserve">, nos termos da Deliberação Plenária DPOSC nº 752/2023, no uso das competências que lhe conferem os artigos 91 e 95 do Regimento Interno do CAU/SC, após análise do assunto em epígrafe, e </w:t>
      </w:r>
    </w:p>
    <w:p w14:paraId="40B650EE" w14:textId="77777777" w:rsidR="00D777A1" w:rsidRPr="00533684" w:rsidRDefault="00D777A1" w:rsidP="00F551CC">
      <w:pPr>
        <w:ind w:right="-7"/>
        <w:jc w:val="both"/>
        <w:rPr>
          <w:rFonts w:ascii="Arial" w:hAnsi="Arial" w:cs="Arial"/>
          <w:sz w:val="22"/>
          <w:szCs w:val="22"/>
        </w:rPr>
      </w:pPr>
    </w:p>
    <w:p w14:paraId="181DB636" w14:textId="471B0BC8" w:rsidR="004D462F" w:rsidRDefault="008557B1" w:rsidP="00F551CC">
      <w:pPr>
        <w:ind w:right="-7"/>
        <w:jc w:val="both"/>
        <w:rPr>
          <w:rFonts w:ascii="Arial" w:hAnsi="Arial" w:cs="Arial"/>
          <w:sz w:val="22"/>
          <w:szCs w:val="22"/>
        </w:rPr>
      </w:pPr>
      <w:r w:rsidRPr="00533684">
        <w:rPr>
          <w:rFonts w:ascii="Arial" w:hAnsi="Arial" w:cs="Arial"/>
          <w:sz w:val="22"/>
          <w:szCs w:val="22"/>
        </w:rPr>
        <w:t xml:space="preserve">Considerando </w:t>
      </w:r>
      <w:r w:rsidR="00C96663">
        <w:rPr>
          <w:rFonts w:ascii="Arial" w:hAnsi="Arial" w:cs="Arial"/>
          <w:sz w:val="22"/>
          <w:szCs w:val="22"/>
        </w:rPr>
        <w:t>a demolição d</w:t>
      </w:r>
      <w:r w:rsidR="00C808B8">
        <w:rPr>
          <w:rFonts w:ascii="Arial" w:hAnsi="Arial" w:cs="Arial"/>
          <w:sz w:val="22"/>
          <w:szCs w:val="22"/>
        </w:rPr>
        <w:t>a edificação denominada de</w:t>
      </w:r>
      <w:r w:rsidR="00C96663">
        <w:rPr>
          <w:rFonts w:ascii="Arial" w:hAnsi="Arial" w:cs="Arial"/>
          <w:sz w:val="22"/>
          <w:szCs w:val="22"/>
        </w:rPr>
        <w:t xml:space="preserve"> </w:t>
      </w:r>
      <w:r w:rsidR="00C808B8">
        <w:rPr>
          <w:rFonts w:ascii="Arial" w:hAnsi="Arial" w:cs="Arial"/>
          <w:sz w:val="22"/>
          <w:szCs w:val="22"/>
        </w:rPr>
        <w:t>“</w:t>
      </w:r>
      <w:r w:rsidR="00C96663">
        <w:rPr>
          <w:rFonts w:ascii="Arial" w:hAnsi="Arial" w:cs="Arial"/>
          <w:sz w:val="22"/>
          <w:szCs w:val="22"/>
        </w:rPr>
        <w:t>Antigo Estaleiro Arataca</w:t>
      </w:r>
      <w:r w:rsidR="00C808B8">
        <w:rPr>
          <w:rFonts w:ascii="Arial" w:hAnsi="Arial" w:cs="Arial"/>
          <w:sz w:val="22"/>
          <w:szCs w:val="22"/>
        </w:rPr>
        <w:t>”</w:t>
      </w:r>
      <w:r w:rsidR="00C96663">
        <w:rPr>
          <w:rFonts w:ascii="Arial" w:hAnsi="Arial" w:cs="Arial"/>
          <w:sz w:val="22"/>
          <w:szCs w:val="22"/>
        </w:rPr>
        <w:t xml:space="preserve"> aos </w:t>
      </w:r>
      <w:r w:rsidR="00C808B8">
        <w:rPr>
          <w:rFonts w:ascii="Arial" w:hAnsi="Arial" w:cs="Arial"/>
          <w:sz w:val="22"/>
          <w:szCs w:val="22"/>
        </w:rPr>
        <w:t>13/08/2024, nas imediações da Ponte Hercílio Luz, em Florianópolis-SC.</w:t>
      </w:r>
    </w:p>
    <w:p w14:paraId="76F1D49E" w14:textId="3676A756" w:rsidR="00C96663" w:rsidRDefault="00C96663" w:rsidP="00F551CC">
      <w:pPr>
        <w:ind w:right="-7"/>
        <w:jc w:val="both"/>
        <w:rPr>
          <w:rFonts w:ascii="Arial" w:hAnsi="Arial" w:cs="Arial"/>
          <w:sz w:val="22"/>
          <w:szCs w:val="22"/>
        </w:rPr>
      </w:pPr>
    </w:p>
    <w:p w14:paraId="7B9397EE" w14:textId="411EF915" w:rsidR="00D242DA" w:rsidRDefault="00C96663" w:rsidP="00F551CC">
      <w:pPr>
        <w:pStyle w:val="Default"/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a demolição foi autorizada pel</w:t>
      </w:r>
      <w:r w:rsidR="0058409F">
        <w:rPr>
          <w:rFonts w:ascii="Arial" w:hAnsi="Arial" w:cs="Arial"/>
          <w:sz w:val="22"/>
          <w:szCs w:val="22"/>
        </w:rPr>
        <w:t xml:space="preserve">o Ministério Público a partir do </w:t>
      </w:r>
      <w:r w:rsidR="00C808B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audo Técnico de </w:t>
      </w:r>
      <w:r w:rsidR="00C808B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istoria</w:t>
      </w:r>
      <w:r w:rsidR="00FF363B">
        <w:rPr>
          <w:rFonts w:ascii="Arial" w:hAnsi="Arial" w:cs="Arial"/>
          <w:sz w:val="22"/>
          <w:szCs w:val="22"/>
        </w:rPr>
        <w:t xml:space="preserve"> nº 009/2024,</w:t>
      </w:r>
      <w:r>
        <w:rPr>
          <w:rFonts w:ascii="Arial" w:hAnsi="Arial" w:cs="Arial"/>
          <w:sz w:val="22"/>
          <w:szCs w:val="22"/>
        </w:rPr>
        <w:t xml:space="preserve"> </w:t>
      </w:r>
      <w:r w:rsidR="00FF363B">
        <w:rPr>
          <w:rFonts w:ascii="Arial" w:hAnsi="Arial" w:cs="Arial"/>
          <w:sz w:val="22"/>
          <w:szCs w:val="22"/>
        </w:rPr>
        <w:t xml:space="preserve">da Defesa Civil, </w:t>
      </w:r>
      <w:r w:rsidR="00C808B8">
        <w:rPr>
          <w:rFonts w:ascii="Arial" w:hAnsi="Arial" w:cs="Arial"/>
          <w:sz w:val="22"/>
          <w:szCs w:val="22"/>
        </w:rPr>
        <w:t xml:space="preserve">emitido por </w:t>
      </w:r>
      <w:r>
        <w:rPr>
          <w:rFonts w:ascii="Arial" w:hAnsi="Arial" w:cs="Arial"/>
          <w:sz w:val="22"/>
          <w:szCs w:val="22"/>
        </w:rPr>
        <w:t>um Técnico em Edificações</w:t>
      </w:r>
      <w:r w:rsidR="00D242DA">
        <w:rPr>
          <w:rFonts w:ascii="Arial" w:hAnsi="Arial" w:cs="Arial"/>
          <w:sz w:val="22"/>
          <w:szCs w:val="22"/>
        </w:rPr>
        <w:t>;</w:t>
      </w:r>
    </w:p>
    <w:p w14:paraId="070BB7A7" w14:textId="371B554D" w:rsidR="00D242DA" w:rsidRDefault="00D242DA" w:rsidP="00F551CC">
      <w:pPr>
        <w:pStyle w:val="Default"/>
        <w:ind w:right="-7"/>
        <w:jc w:val="both"/>
        <w:rPr>
          <w:rFonts w:ascii="Arial" w:hAnsi="Arial" w:cs="Arial"/>
          <w:sz w:val="22"/>
          <w:szCs w:val="22"/>
        </w:rPr>
      </w:pPr>
    </w:p>
    <w:p w14:paraId="3CC01364" w14:textId="0E990831" w:rsidR="00BD621D" w:rsidRDefault="00FF363B" w:rsidP="00F551CC">
      <w:pPr>
        <w:pStyle w:val="Default"/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o Técnico em Edificações extrapolou sua competência legal ao avaliar </w:t>
      </w:r>
      <w:r w:rsidR="00BD621D">
        <w:rPr>
          <w:rFonts w:ascii="Arial" w:hAnsi="Arial" w:cs="Arial"/>
          <w:sz w:val="22"/>
          <w:szCs w:val="22"/>
        </w:rPr>
        <w:t>o valor histórico da edificação (</w:t>
      </w:r>
      <w:r w:rsidR="00BD621D" w:rsidRPr="00EC352F">
        <w:rPr>
          <w:rFonts w:ascii="Arial" w:hAnsi="Arial" w:cs="Arial"/>
          <w:i/>
          <w:iCs/>
          <w:sz w:val="20"/>
          <w:szCs w:val="20"/>
        </w:rPr>
        <w:t>5 – Considerando: ...C. A descaracterização das edificações como construção de identidade histórica</w:t>
      </w:r>
      <w:r w:rsidR="00BD621D">
        <w:rPr>
          <w:rFonts w:ascii="Arial" w:hAnsi="Arial" w:cs="Arial"/>
          <w:i/>
          <w:iCs/>
          <w:sz w:val="22"/>
          <w:szCs w:val="22"/>
        </w:rPr>
        <w:t>)</w:t>
      </w:r>
      <w:r w:rsidR="00BD621D">
        <w:rPr>
          <w:rFonts w:ascii="Arial" w:hAnsi="Arial" w:cs="Arial"/>
          <w:sz w:val="22"/>
          <w:szCs w:val="22"/>
        </w:rPr>
        <w:t xml:space="preserve"> para fundamentar a decisão pela demolição</w:t>
      </w:r>
      <w:r w:rsidR="0058409F">
        <w:rPr>
          <w:rFonts w:ascii="Arial" w:hAnsi="Arial" w:cs="Arial"/>
          <w:sz w:val="22"/>
          <w:szCs w:val="22"/>
        </w:rPr>
        <w:t xml:space="preserve">; </w:t>
      </w:r>
    </w:p>
    <w:p w14:paraId="42B5F8B5" w14:textId="77777777" w:rsidR="00BD621D" w:rsidRDefault="00BD621D" w:rsidP="00F551CC">
      <w:pPr>
        <w:pStyle w:val="Default"/>
        <w:ind w:right="-7"/>
        <w:jc w:val="both"/>
        <w:rPr>
          <w:rFonts w:ascii="Arial" w:hAnsi="Arial" w:cs="Arial"/>
          <w:sz w:val="22"/>
          <w:szCs w:val="22"/>
        </w:rPr>
      </w:pPr>
    </w:p>
    <w:p w14:paraId="799635D6" w14:textId="17537782" w:rsidR="00BD621D" w:rsidRPr="00BD621D" w:rsidRDefault="00BD621D" w:rsidP="00F551CC">
      <w:pPr>
        <w:pStyle w:val="Default"/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</w:t>
      </w:r>
      <w:r w:rsidR="0058409F">
        <w:rPr>
          <w:rFonts w:ascii="Arial" w:hAnsi="Arial" w:cs="Arial"/>
          <w:sz w:val="22"/>
          <w:szCs w:val="22"/>
        </w:rPr>
        <w:t>erando que são os Arquitetos e U</w:t>
      </w:r>
      <w:r>
        <w:rPr>
          <w:rFonts w:ascii="Arial" w:hAnsi="Arial" w:cs="Arial"/>
          <w:sz w:val="22"/>
          <w:szCs w:val="22"/>
        </w:rPr>
        <w:t xml:space="preserve">rbanistas os profissionais com habilitação técnica e legal para atuar na área relacionada ao patrimônio histórico, </w:t>
      </w:r>
      <w:r w:rsidRPr="00BD621D">
        <w:rPr>
          <w:rFonts w:ascii="Arial" w:hAnsi="Arial" w:cs="Arial"/>
          <w:sz w:val="22"/>
          <w:szCs w:val="22"/>
        </w:rPr>
        <w:t xml:space="preserve">conforme dispõe parágrafo único, art., 1º, da </w:t>
      </w:r>
      <w:r w:rsidR="00F551CC">
        <w:rPr>
          <w:rFonts w:ascii="Arial" w:hAnsi="Arial" w:cs="Arial"/>
          <w:sz w:val="22"/>
          <w:szCs w:val="22"/>
        </w:rPr>
        <w:t>R</w:t>
      </w:r>
      <w:r w:rsidRPr="00BD621D">
        <w:rPr>
          <w:rFonts w:ascii="Arial" w:hAnsi="Arial" w:cs="Arial"/>
          <w:sz w:val="22"/>
          <w:szCs w:val="22"/>
        </w:rPr>
        <w:t>esolução nº</w:t>
      </w:r>
      <w:r w:rsidR="0058409F">
        <w:rPr>
          <w:rFonts w:ascii="Arial" w:hAnsi="Arial" w:cs="Arial"/>
          <w:sz w:val="22"/>
          <w:szCs w:val="22"/>
        </w:rPr>
        <w:t xml:space="preserve"> </w:t>
      </w:r>
      <w:r w:rsidRPr="00BD621D">
        <w:rPr>
          <w:rFonts w:ascii="Arial" w:hAnsi="Arial" w:cs="Arial"/>
          <w:sz w:val="22"/>
          <w:szCs w:val="22"/>
        </w:rPr>
        <w:t>21 do CAU/BR:</w:t>
      </w:r>
    </w:p>
    <w:p w14:paraId="02E15506" w14:textId="1718E1FD" w:rsidR="00F551CC" w:rsidRDefault="00F551CC" w:rsidP="00F551CC">
      <w:pPr>
        <w:ind w:left="1416" w:right="-7"/>
        <w:jc w:val="both"/>
        <w:rPr>
          <w:i/>
          <w:sz w:val="22"/>
          <w:szCs w:val="22"/>
        </w:rPr>
      </w:pPr>
      <w:r w:rsidRPr="00F551CC">
        <w:rPr>
          <w:i/>
          <w:sz w:val="22"/>
          <w:szCs w:val="22"/>
        </w:rPr>
        <w:t>Parágrafo único. As atribuições de que trata este artigo aplicam-se aos seguintes campos de atuação:</w:t>
      </w:r>
    </w:p>
    <w:p w14:paraId="30A256F1" w14:textId="2DFA10B4" w:rsidR="00F551CC" w:rsidRDefault="00F551CC" w:rsidP="00F551CC">
      <w:pPr>
        <w:ind w:left="1416" w:right="-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(...)</w:t>
      </w:r>
    </w:p>
    <w:p w14:paraId="129C5126" w14:textId="52E3A943" w:rsidR="00BD621D" w:rsidRPr="00BD621D" w:rsidRDefault="00BD621D" w:rsidP="00F551CC">
      <w:pPr>
        <w:ind w:left="1416" w:right="-7"/>
        <w:jc w:val="both"/>
        <w:rPr>
          <w:i/>
          <w:sz w:val="22"/>
          <w:szCs w:val="22"/>
        </w:rPr>
      </w:pPr>
      <w:r w:rsidRPr="00BD621D">
        <w:rPr>
          <w:i/>
          <w:sz w:val="22"/>
          <w:szCs w:val="22"/>
        </w:rPr>
        <w:t xml:space="preserve">IV – </w:t>
      </w:r>
      <w:proofErr w:type="gramStart"/>
      <w:r w:rsidRPr="00BD621D">
        <w:rPr>
          <w:i/>
          <w:sz w:val="22"/>
          <w:szCs w:val="22"/>
        </w:rPr>
        <w:t>do</w:t>
      </w:r>
      <w:proofErr w:type="gramEnd"/>
      <w:r w:rsidRPr="00BD621D">
        <w:rPr>
          <w:i/>
          <w:sz w:val="22"/>
          <w:szCs w:val="22"/>
        </w:rPr>
        <w:t xml:space="preserve"> Patrimônio Histórico Cultural e Artístico, arquitetônico, urbanístico, paisagístico, monumentos, restauro, práticas de projeto e soluções tecnológicas para reutilização, reabilitação, reconstrução, preservação, conservação, restauro e valorização de edificações, conjuntos e cidades;</w:t>
      </w:r>
    </w:p>
    <w:p w14:paraId="2F3B89BE" w14:textId="77777777" w:rsidR="00FF363B" w:rsidRDefault="00FF363B" w:rsidP="00F551CC">
      <w:pPr>
        <w:pStyle w:val="Default"/>
        <w:ind w:right="-7"/>
        <w:jc w:val="both"/>
        <w:rPr>
          <w:rFonts w:ascii="Arial" w:hAnsi="Arial" w:cs="Arial"/>
          <w:sz w:val="22"/>
          <w:szCs w:val="22"/>
        </w:rPr>
      </w:pPr>
    </w:p>
    <w:p w14:paraId="78AD1A13" w14:textId="07179D53" w:rsidR="008A4EDB" w:rsidRPr="00E53AA6" w:rsidRDefault="00C96663" w:rsidP="00F551CC">
      <w:pPr>
        <w:ind w:right="-7"/>
        <w:jc w:val="both"/>
        <w:rPr>
          <w:rFonts w:ascii="Arial" w:hAnsi="Arial" w:cs="Arial"/>
          <w:sz w:val="22"/>
          <w:szCs w:val="22"/>
        </w:rPr>
      </w:pPr>
      <w:r w:rsidRPr="00E53AA6">
        <w:rPr>
          <w:rFonts w:ascii="Arial" w:hAnsi="Arial" w:cs="Arial"/>
          <w:sz w:val="22"/>
          <w:szCs w:val="22"/>
        </w:rPr>
        <w:t xml:space="preserve">Considerando a importância de informar aos órgãos envolvidos que são os </w:t>
      </w:r>
      <w:r w:rsidR="00F551CC">
        <w:rPr>
          <w:rFonts w:ascii="Arial" w:hAnsi="Arial" w:cs="Arial"/>
          <w:sz w:val="22"/>
          <w:szCs w:val="22"/>
        </w:rPr>
        <w:t>A</w:t>
      </w:r>
      <w:r w:rsidRPr="00E53AA6">
        <w:rPr>
          <w:rFonts w:ascii="Arial" w:hAnsi="Arial" w:cs="Arial"/>
          <w:sz w:val="22"/>
          <w:szCs w:val="22"/>
        </w:rPr>
        <w:t xml:space="preserve">rquitetos e </w:t>
      </w:r>
      <w:r w:rsidR="00F551CC">
        <w:rPr>
          <w:rFonts w:ascii="Arial" w:hAnsi="Arial" w:cs="Arial"/>
          <w:sz w:val="22"/>
          <w:szCs w:val="22"/>
        </w:rPr>
        <w:t>U</w:t>
      </w:r>
      <w:r w:rsidRPr="00E53AA6">
        <w:rPr>
          <w:rFonts w:ascii="Arial" w:hAnsi="Arial" w:cs="Arial"/>
          <w:sz w:val="22"/>
          <w:szCs w:val="22"/>
        </w:rPr>
        <w:t>rbanistas os profissionais habilitados técnica e legalmente para atuar no campo do patrimônio histórico</w:t>
      </w:r>
      <w:r w:rsidR="0058409F">
        <w:rPr>
          <w:rFonts w:ascii="Arial" w:hAnsi="Arial" w:cs="Arial"/>
          <w:sz w:val="22"/>
          <w:szCs w:val="22"/>
        </w:rPr>
        <w:t xml:space="preserve">; </w:t>
      </w:r>
    </w:p>
    <w:p w14:paraId="15C83004" w14:textId="3BE6BAAE" w:rsidR="004E58FE" w:rsidRPr="00E53AA6" w:rsidRDefault="004E58FE" w:rsidP="00F551CC">
      <w:pPr>
        <w:ind w:right="-7"/>
        <w:jc w:val="both"/>
        <w:rPr>
          <w:rFonts w:ascii="Arial" w:hAnsi="Arial" w:cs="Arial"/>
          <w:sz w:val="22"/>
          <w:szCs w:val="22"/>
        </w:rPr>
      </w:pPr>
    </w:p>
    <w:p w14:paraId="5ADE4B58" w14:textId="77777777" w:rsidR="00402D79" w:rsidRDefault="00402D79" w:rsidP="00F551CC">
      <w:pPr>
        <w:ind w:right="-7"/>
        <w:jc w:val="both"/>
        <w:rPr>
          <w:rFonts w:ascii="Arial" w:hAnsi="Arial" w:cs="Arial"/>
          <w:sz w:val="22"/>
          <w:szCs w:val="22"/>
        </w:rPr>
      </w:pPr>
      <w:r w:rsidRPr="00E53AA6">
        <w:rPr>
          <w:rFonts w:ascii="Arial" w:hAnsi="Arial" w:cs="Arial"/>
          <w:sz w:val="22"/>
          <w:szCs w:val="22"/>
        </w:rPr>
        <w:t>Considerando que todas as deliberações de comissão devem</w:t>
      </w:r>
      <w:r w:rsidRPr="002E77A2">
        <w:rPr>
          <w:rFonts w:ascii="Arial" w:hAnsi="Arial" w:cs="Arial"/>
          <w:sz w:val="22"/>
          <w:szCs w:val="22"/>
        </w:rPr>
        <w:t xml:space="preserve"> ser encaminhadas à Presidência do CAU/SC, para verificação e encaminhamentos, confor</w:t>
      </w:r>
      <w:r>
        <w:rPr>
          <w:rFonts w:ascii="Arial" w:hAnsi="Arial" w:cs="Arial"/>
          <w:sz w:val="22"/>
          <w:szCs w:val="22"/>
        </w:rPr>
        <w:t>me Regimento Interno do CAU/SC.</w:t>
      </w:r>
    </w:p>
    <w:p w14:paraId="57FB627E" w14:textId="77777777" w:rsidR="00536178" w:rsidRPr="00533684" w:rsidRDefault="00536178" w:rsidP="009102E1">
      <w:pPr>
        <w:jc w:val="both"/>
        <w:rPr>
          <w:rFonts w:ascii="Arial" w:hAnsi="Arial" w:cs="Arial"/>
          <w:strike/>
          <w:sz w:val="22"/>
          <w:szCs w:val="22"/>
        </w:rPr>
      </w:pPr>
    </w:p>
    <w:p w14:paraId="41999D9B" w14:textId="7EAB4E34" w:rsidR="009102E1" w:rsidRPr="00533684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 xml:space="preserve">DELIBERA: </w:t>
      </w:r>
    </w:p>
    <w:p w14:paraId="2499231D" w14:textId="77777777" w:rsidR="00A26A4F" w:rsidRDefault="00A26A4F" w:rsidP="00A26A4F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5DEA7904" w14:textId="6C8C5552" w:rsidR="0031165B" w:rsidRDefault="00E53AA6" w:rsidP="00A26A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26A4F" w:rsidRPr="00A26A4F">
        <w:rPr>
          <w:rFonts w:ascii="Arial" w:hAnsi="Arial" w:cs="Arial"/>
          <w:sz w:val="22"/>
          <w:szCs w:val="22"/>
        </w:rPr>
        <w:t xml:space="preserve"> – </w:t>
      </w:r>
      <w:r w:rsidR="00742548">
        <w:rPr>
          <w:rFonts w:ascii="Arial" w:hAnsi="Arial" w:cs="Arial"/>
          <w:sz w:val="22"/>
          <w:szCs w:val="22"/>
        </w:rPr>
        <w:t>Solicitar</w:t>
      </w:r>
      <w:r w:rsidR="0031165B">
        <w:rPr>
          <w:rFonts w:ascii="Arial" w:hAnsi="Arial" w:cs="Arial"/>
          <w:sz w:val="22"/>
          <w:szCs w:val="22"/>
        </w:rPr>
        <w:t xml:space="preserve"> o </w:t>
      </w:r>
      <w:r w:rsidR="00742548">
        <w:rPr>
          <w:rFonts w:ascii="Arial" w:hAnsi="Arial" w:cs="Arial"/>
          <w:sz w:val="22"/>
          <w:szCs w:val="22"/>
        </w:rPr>
        <w:t xml:space="preserve">encaminhamento dos </w:t>
      </w:r>
      <w:r w:rsidR="0058409F">
        <w:rPr>
          <w:rFonts w:ascii="Arial" w:hAnsi="Arial" w:cs="Arial"/>
          <w:sz w:val="22"/>
          <w:szCs w:val="22"/>
        </w:rPr>
        <w:t>o</w:t>
      </w:r>
      <w:r w:rsidR="0031165B">
        <w:rPr>
          <w:rFonts w:ascii="Arial" w:hAnsi="Arial" w:cs="Arial"/>
          <w:sz w:val="22"/>
          <w:szCs w:val="22"/>
        </w:rPr>
        <w:t>fícios</w:t>
      </w:r>
      <w:r>
        <w:rPr>
          <w:rFonts w:ascii="Arial" w:hAnsi="Arial" w:cs="Arial"/>
          <w:sz w:val="22"/>
          <w:szCs w:val="22"/>
        </w:rPr>
        <w:t xml:space="preserve"> anexos</w:t>
      </w:r>
      <w:r w:rsidR="0031165B">
        <w:rPr>
          <w:rFonts w:ascii="Arial" w:hAnsi="Arial" w:cs="Arial"/>
          <w:sz w:val="22"/>
          <w:szCs w:val="22"/>
        </w:rPr>
        <w:t>, conforme segue</w:t>
      </w:r>
      <w:r w:rsidR="00C808B8">
        <w:rPr>
          <w:rFonts w:ascii="Arial" w:hAnsi="Arial" w:cs="Arial"/>
          <w:sz w:val="22"/>
          <w:szCs w:val="22"/>
        </w:rPr>
        <w:t>:</w:t>
      </w:r>
    </w:p>
    <w:p w14:paraId="4669C0BC" w14:textId="1C6A8342" w:rsidR="0031165B" w:rsidRDefault="0031165B" w:rsidP="00A26A4F">
      <w:pPr>
        <w:jc w:val="both"/>
        <w:rPr>
          <w:rFonts w:ascii="Arial" w:hAnsi="Arial" w:cs="Arial"/>
          <w:sz w:val="22"/>
          <w:szCs w:val="22"/>
        </w:rPr>
      </w:pPr>
    </w:p>
    <w:p w14:paraId="307FC198" w14:textId="77777777" w:rsidR="00C808B8" w:rsidRDefault="0031165B" w:rsidP="00A26A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Anexo 1 – Ao Ministério Público de Santa Catarina – MP-SC, </w:t>
      </w:r>
    </w:p>
    <w:p w14:paraId="66BBD2A8" w14:textId="1BF0E689" w:rsidR="0031165B" w:rsidRDefault="0031165B" w:rsidP="00DE23EE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cuidados de </w:t>
      </w:r>
      <w:r w:rsidR="00DE23EE" w:rsidRPr="00DE23EE">
        <w:rPr>
          <w:rFonts w:ascii="Arial" w:hAnsi="Arial" w:cs="Arial"/>
          <w:sz w:val="22"/>
          <w:szCs w:val="22"/>
        </w:rPr>
        <w:t>Procurador-Geral de Justiça</w:t>
      </w:r>
      <w:r w:rsidR="00F551CC">
        <w:rPr>
          <w:rFonts w:ascii="Arial" w:hAnsi="Arial" w:cs="Arial"/>
          <w:sz w:val="22"/>
          <w:szCs w:val="22"/>
        </w:rPr>
        <w:t xml:space="preserve"> Sr. </w:t>
      </w:r>
      <w:r w:rsidR="00DE23EE" w:rsidRPr="00DE23EE">
        <w:rPr>
          <w:rFonts w:ascii="Arial" w:hAnsi="Arial" w:cs="Arial"/>
          <w:sz w:val="22"/>
          <w:szCs w:val="22"/>
        </w:rPr>
        <w:t>Fábio de Souza Trajano</w:t>
      </w:r>
      <w:r w:rsidR="00F551CC">
        <w:rPr>
          <w:rFonts w:ascii="Arial" w:hAnsi="Arial" w:cs="Arial"/>
          <w:sz w:val="22"/>
          <w:szCs w:val="22"/>
        </w:rPr>
        <w:t xml:space="preserve"> </w:t>
      </w:r>
      <w:r w:rsidR="003233DA">
        <w:rPr>
          <w:rFonts w:ascii="Arial" w:hAnsi="Arial" w:cs="Arial"/>
          <w:sz w:val="22"/>
          <w:szCs w:val="22"/>
        </w:rPr>
        <w:t>(</w:t>
      </w:r>
      <w:r w:rsidR="00DE23EE" w:rsidRPr="00F551CC">
        <w:rPr>
          <w:rFonts w:ascii="Arial" w:hAnsi="Arial" w:cs="Arial"/>
          <w:i/>
          <w:iCs/>
          <w:sz w:val="22"/>
          <w:szCs w:val="22"/>
        </w:rPr>
        <w:t>pgj@mpsc.mp.br</w:t>
      </w:r>
      <w:r w:rsidR="003233DA">
        <w:rPr>
          <w:rFonts w:ascii="Arial" w:hAnsi="Arial" w:cs="Arial"/>
          <w:sz w:val="22"/>
          <w:szCs w:val="22"/>
        </w:rPr>
        <w:t>)</w:t>
      </w:r>
    </w:p>
    <w:p w14:paraId="5F25BBB3" w14:textId="77777777" w:rsidR="00C808B8" w:rsidRDefault="00C808B8" w:rsidP="00C808B8">
      <w:pPr>
        <w:ind w:left="2124"/>
        <w:jc w:val="both"/>
        <w:rPr>
          <w:rFonts w:ascii="Arial" w:hAnsi="Arial" w:cs="Arial"/>
          <w:sz w:val="22"/>
          <w:szCs w:val="22"/>
        </w:rPr>
      </w:pPr>
    </w:p>
    <w:p w14:paraId="13739755" w14:textId="0C044A76" w:rsidR="0031165B" w:rsidRDefault="0031165B" w:rsidP="00A26A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Anexo 2 – à Defesa Civil de Santa Catarina, </w:t>
      </w:r>
    </w:p>
    <w:p w14:paraId="5EF71D18" w14:textId="1097829C" w:rsidR="00C808B8" w:rsidRDefault="00C808B8" w:rsidP="006B4A2A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cuidados d</w:t>
      </w:r>
      <w:r w:rsidR="006B4A2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6B4A2A" w:rsidRPr="006B4A2A">
        <w:rPr>
          <w:rFonts w:ascii="Arial" w:hAnsi="Arial" w:cs="Arial"/>
          <w:sz w:val="22"/>
          <w:szCs w:val="22"/>
        </w:rPr>
        <w:t>Secretário de Estado da Proteção e Defesa Civil</w:t>
      </w:r>
      <w:r w:rsidR="006B4A2A">
        <w:rPr>
          <w:rFonts w:ascii="Arial" w:hAnsi="Arial" w:cs="Arial"/>
          <w:sz w:val="22"/>
          <w:szCs w:val="22"/>
        </w:rPr>
        <w:t xml:space="preserve">, Coronel </w:t>
      </w:r>
      <w:r w:rsidR="006B4A2A" w:rsidRPr="006B4A2A">
        <w:rPr>
          <w:rFonts w:ascii="Arial" w:hAnsi="Arial" w:cs="Arial"/>
          <w:sz w:val="22"/>
          <w:szCs w:val="22"/>
        </w:rPr>
        <w:t>Fabiano de Souza</w:t>
      </w:r>
      <w:r w:rsidR="006B4A2A">
        <w:rPr>
          <w:rFonts w:ascii="Arial" w:hAnsi="Arial" w:cs="Arial"/>
          <w:sz w:val="22"/>
          <w:szCs w:val="22"/>
        </w:rPr>
        <w:t xml:space="preserve"> (</w:t>
      </w:r>
      <w:r w:rsidR="006B4A2A" w:rsidRPr="00F551CC">
        <w:rPr>
          <w:rFonts w:ascii="Arial" w:hAnsi="Arial" w:cs="Arial"/>
          <w:i/>
          <w:iCs/>
          <w:sz w:val="22"/>
          <w:szCs w:val="22"/>
        </w:rPr>
        <w:t>gabinete</w:t>
      </w:r>
      <w:r w:rsidR="003233DA" w:rsidRPr="00F551CC">
        <w:rPr>
          <w:rFonts w:ascii="Arial" w:hAnsi="Arial" w:cs="Arial"/>
          <w:i/>
          <w:iCs/>
          <w:sz w:val="22"/>
          <w:szCs w:val="22"/>
        </w:rPr>
        <w:t>@defesacivil.sc.gov.br</w:t>
      </w:r>
      <w:r w:rsidR="003233DA">
        <w:rPr>
          <w:rFonts w:ascii="Arial" w:hAnsi="Arial" w:cs="Arial"/>
          <w:sz w:val="22"/>
          <w:szCs w:val="22"/>
        </w:rPr>
        <w:t>)</w:t>
      </w:r>
    </w:p>
    <w:p w14:paraId="24E8E02D" w14:textId="77777777" w:rsidR="00C808B8" w:rsidRDefault="00C808B8" w:rsidP="00A26A4F">
      <w:pPr>
        <w:jc w:val="both"/>
        <w:rPr>
          <w:rFonts w:ascii="Arial" w:hAnsi="Arial" w:cs="Arial"/>
          <w:sz w:val="22"/>
          <w:szCs w:val="22"/>
        </w:rPr>
      </w:pPr>
    </w:p>
    <w:p w14:paraId="2A6A51A9" w14:textId="2733DF25" w:rsidR="0031165B" w:rsidRDefault="0031165B" w:rsidP="00A26A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Anexo 3 – à Rede de Controle da Gestão Pública em Santa Catarina, </w:t>
      </w:r>
    </w:p>
    <w:p w14:paraId="4923FDE1" w14:textId="2476A07E" w:rsidR="00C808B8" w:rsidRDefault="00C808B8" w:rsidP="00C808B8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cuidados de </w:t>
      </w:r>
      <w:r w:rsidR="006B4A2A">
        <w:rPr>
          <w:rFonts w:ascii="Arial" w:hAnsi="Arial" w:cs="Arial"/>
          <w:sz w:val="22"/>
          <w:szCs w:val="22"/>
        </w:rPr>
        <w:t xml:space="preserve">Sr. Diogo </w:t>
      </w:r>
      <w:proofErr w:type="spellStart"/>
      <w:r w:rsidR="006B4A2A">
        <w:rPr>
          <w:rFonts w:ascii="Arial" w:hAnsi="Arial" w:cs="Arial"/>
          <w:sz w:val="22"/>
          <w:szCs w:val="22"/>
        </w:rPr>
        <w:t>Ringenberg</w:t>
      </w:r>
      <w:proofErr w:type="spellEnd"/>
      <w:r w:rsidR="006B4A2A">
        <w:rPr>
          <w:rFonts w:ascii="Arial" w:hAnsi="Arial" w:cs="Arial"/>
          <w:sz w:val="22"/>
          <w:szCs w:val="22"/>
        </w:rPr>
        <w:t xml:space="preserve"> (</w:t>
      </w:r>
      <w:r w:rsidR="006B4A2A" w:rsidRPr="00F551CC">
        <w:rPr>
          <w:rFonts w:ascii="Arial" w:hAnsi="Arial" w:cs="Arial"/>
          <w:i/>
          <w:iCs/>
          <w:sz w:val="22"/>
          <w:szCs w:val="22"/>
        </w:rPr>
        <w:t>diogo@mptc.sc.gov.br</w:t>
      </w:r>
      <w:r w:rsidR="006B4A2A">
        <w:rPr>
          <w:rFonts w:ascii="Arial" w:hAnsi="Arial" w:cs="Arial"/>
          <w:sz w:val="22"/>
          <w:szCs w:val="22"/>
        </w:rPr>
        <w:t>)</w:t>
      </w:r>
    </w:p>
    <w:p w14:paraId="7124A170" w14:textId="77777777" w:rsidR="00C808B8" w:rsidRDefault="00C808B8" w:rsidP="00A26A4F">
      <w:pPr>
        <w:jc w:val="both"/>
        <w:rPr>
          <w:rFonts w:ascii="Arial" w:hAnsi="Arial" w:cs="Arial"/>
          <w:sz w:val="22"/>
          <w:szCs w:val="22"/>
        </w:rPr>
      </w:pPr>
    </w:p>
    <w:p w14:paraId="044FB6B3" w14:textId="77777777" w:rsidR="0031165B" w:rsidRDefault="0031165B" w:rsidP="00A26A4F">
      <w:pPr>
        <w:jc w:val="both"/>
        <w:rPr>
          <w:rFonts w:ascii="Arial" w:hAnsi="Arial" w:cs="Arial"/>
          <w:sz w:val="22"/>
          <w:szCs w:val="22"/>
        </w:rPr>
      </w:pPr>
    </w:p>
    <w:p w14:paraId="2207522F" w14:textId="0939F75D" w:rsidR="009102E1" w:rsidRPr="003405B7" w:rsidRDefault="00A32CB6" w:rsidP="003405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47BAA">
        <w:rPr>
          <w:rFonts w:ascii="Arial" w:hAnsi="Arial" w:cs="Arial"/>
          <w:sz w:val="22"/>
          <w:szCs w:val="22"/>
        </w:rPr>
        <w:t xml:space="preserve"> </w:t>
      </w:r>
      <w:r w:rsidR="003405B7">
        <w:rPr>
          <w:rFonts w:ascii="Arial" w:hAnsi="Arial" w:cs="Arial"/>
          <w:sz w:val="22"/>
          <w:szCs w:val="22"/>
        </w:rPr>
        <w:t xml:space="preserve">- </w:t>
      </w:r>
      <w:r w:rsidR="009102E1" w:rsidRPr="003405B7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7049040F" w14:textId="77777777" w:rsidR="00004B4E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3C2DB214" w14:textId="77777777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0158235" w14:textId="60A5C8C9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  <w:r w:rsidRPr="00381F39">
        <w:rPr>
          <w:rFonts w:ascii="Arial" w:hAnsi="Arial" w:cs="Arial"/>
          <w:sz w:val="22"/>
          <w:szCs w:val="22"/>
        </w:rPr>
        <w:t xml:space="preserve">Florianópolis, </w:t>
      </w:r>
      <w:r w:rsidR="00C808B8">
        <w:rPr>
          <w:rFonts w:ascii="Arial" w:hAnsi="Arial" w:cs="Arial"/>
          <w:sz w:val="22"/>
          <w:szCs w:val="22"/>
        </w:rPr>
        <w:t>2</w:t>
      </w:r>
      <w:r w:rsidR="0031165B">
        <w:rPr>
          <w:rFonts w:ascii="Arial" w:hAnsi="Arial" w:cs="Arial"/>
          <w:sz w:val="22"/>
          <w:szCs w:val="22"/>
        </w:rPr>
        <w:t>8</w:t>
      </w:r>
      <w:r w:rsidR="00381F39" w:rsidRPr="00547E31">
        <w:rPr>
          <w:rFonts w:ascii="Arial" w:hAnsi="Arial" w:cs="Arial"/>
          <w:sz w:val="22"/>
          <w:szCs w:val="22"/>
        </w:rPr>
        <w:t xml:space="preserve"> de </w:t>
      </w:r>
      <w:r w:rsidR="0031165B">
        <w:rPr>
          <w:rFonts w:ascii="Arial" w:hAnsi="Arial" w:cs="Arial"/>
          <w:sz w:val="22"/>
          <w:szCs w:val="22"/>
        </w:rPr>
        <w:t>novembro</w:t>
      </w:r>
      <w:r w:rsidR="00547E31">
        <w:rPr>
          <w:rFonts w:ascii="Arial" w:hAnsi="Arial" w:cs="Arial"/>
          <w:sz w:val="22"/>
          <w:szCs w:val="22"/>
        </w:rPr>
        <w:t xml:space="preserve"> </w:t>
      </w:r>
      <w:r w:rsidR="00412808" w:rsidRPr="00381F39">
        <w:rPr>
          <w:rFonts w:ascii="Arial" w:hAnsi="Arial" w:cs="Arial"/>
          <w:sz w:val="22"/>
          <w:szCs w:val="22"/>
        </w:rPr>
        <w:t>de 2024</w:t>
      </w:r>
      <w:r w:rsidRPr="00533684">
        <w:rPr>
          <w:rFonts w:ascii="Arial" w:hAnsi="Arial" w:cs="Arial"/>
          <w:sz w:val="22"/>
          <w:szCs w:val="22"/>
        </w:rPr>
        <w:t>.</w:t>
      </w:r>
    </w:p>
    <w:p w14:paraId="62D0365B" w14:textId="16BE4B11" w:rsidR="00533684" w:rsidRDefault="00533684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D528B3E" w14:textId="77777777" w:rsidR="00347BAA" w:rsidRPr="00533684" w:rsidRDefault="00347BAA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AA77693" w14:textId="28CAB8F6" w:rsidR="00533684" w:rsidRP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COMISSÃO D</w:t>
      </w:r>
      <w:r w:rsidR="00761586">
        <w:rPr>
          <w:rFonts w:ascii="Arial" w:hAnsi="Arial" w:cs="Arial"/>
          <w:b/>
          <w:sz w:val="22"/>
          <w:szCs w:val="22"/>
        </w:rPr>
        <w:t>E</w:t>
      </w:r>
      <w:r w:rsidRPr="00533684">
        <w:rPr>
          <w:rFonts w:ascii="Arial" w:hAnsi="Arial" w:cs="Arial"/>
          <w:b/>
          <w:sz w:val="22"/>
          <w:szCs w:val="22"/>
        </w:rPr>
        <w:t xml:space="preserve"> EXERCÍCIO PROFISSIONAL </w:t>
      </w:r>
    </w:p>
    <w:p w14:paraId="14D9750B" w14:textId="0F951283" w:rsid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DO CAU/SC</w:t>
      </w:r>
    </w:p>
    <w:p w14:paraId="6EAA01B9" w14:textId="3584524D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82D4AB7" w14:textId="4E0ECE73" w:rsidR="00547E31" w:rsidRDefault="00547E31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29130159" w14:textId="20F47ACA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5E1754BF" w14:textId="645588C2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06C7549" w14:textId="0846A121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18A015EB" w14:textId="7B21FC7F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1E08414" w14:textId="7BEEE9FF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1793C85C" w14:textId="3C7941EC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12E2C990" w14:textId="58C40516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7303FB79" w14:textId="20CF23CC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59D0B45" w14:textId="0617DE5E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5CBA7970" w14:textId="608E62CE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51715CB7" w14:textId="0813ECD5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7F7166D7" w14:textId="03440A01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440814F" w14:textId="21973E2F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2395C74" w14:textId="3B8D3295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32DA4BC1" w14:textId="2B85A734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16C326F" w14:textId="149266FC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F8596DB" w14:textId="2F980174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757C8485" w14:textId="435101E8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15C2E817" w14:textId="60508745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0C6259CE" w14:textId="0760A942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7800D8DA" w14:textId="267AE55B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53BDA8F4" w14:textId="60DD9B3A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3098E41A" w14:textId="14AA47BD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38ED063" w14:textId="4AB0967A" w:rsidR="00742548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6E6C26B2" w14:textId="587AE1E6" w:rsidR="00742548" w:rsidRPr="00533684" w:rsidRDefault="00742548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480C407" w14:textId="7B7B4A99" w:rsidR="00004B4E" w:rsidRPr="009A131C" w:rsidRDefault="009A131C" w:rsidP="00004B4E">
      <w:pPr>
        <w:jc w:val="both"/>
        <w:rPr>
          <w:rFonts w:ascii="Arial" w:hAnsi="Arial" w:cs="Arial"/>
          <w:bCs/>
        </w:rPr>
      </w:pPr>
      <w:r w:rsidRPr="009A131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 w:rsidR="00166027">
        <w:rPr>
          <w:rFonts w:ascii="Arial" w:hAnsi="Arial" w:cs="Arial"/>
          <w:bCs/>
          <w:sz w:val="22"/>
          <w:szCs w:val="22"/>
        </w:rPr>
        <w:t>.</w:t>
      </w:r>
    </w:p>
    <w:p w14:paraId="11797BB6" w14:textId="1703B2A3" w:rsidR="00EB02BD" w:rsidRDefault="00EB02BD" w:rsidP="00004B4E">
      <w:pPr>
        <w:jc w:val="both"/>
        <w:rPr>
          <w:rFonts w:ascii="Arial" w:eastAsiaTheme="minorHAnsi" w:hAnsi="Arial" w:cs="Arial"/>
          <w:b/>
          <w:bCs/>
        </w:rPr>
      </w:pPr>
    </w:p>
    <w:p w14:paraId="35297DB9" w14:textId="44704DE4" w:rsidR="00F65C7B" w:rsidRDefault="00F65C7B" w:rsidP="00004B4E">
      <w:pPr>
        <w:jc w:val="both"/>
        <w:rPr>
          <w:rFonts w:ascii="Arial" w:eastAsiaTheme="minorHAnsi" w:hAnsi="Arial" w:cs="Arial"/>
          <w:b/>
          <w:bCs/>
        </w:rPr>
      </w:pPr>
    </w:p>
    <w:p w14:paraId="2368F248" w14:textId="41A95136" w:rsidR="00742548" w:rsidRDefault="00742548" w:rsidP="00004B4E">
      <w:pPr>
        <w:jc w:val="both"/>
        <w:rPr>
          <w:rFonts w:ascii="Arial" w:eastAsiaTheme="minorHAnsi" w:hAnsi="Arial" w:cs="Arial"/>
          <w:b/>
          <w:bCs/>
        </w:rPr>
      </w:pPr>
    </w:p>
    <w:p w14:paraId="179D4C67" w14:textId="20355286" w:rsidR="0058409F" w:rsidRDefault="0058409F" w:rsidP="00004B4E">
      <w:pPr>
        <w:jc w:val="both"/>
        <w:rPr>
          <w:rFonts w:ascii="Arial" w:eastAsiaTheme="minorHAnsi" w:hAnsi="Arial" w:cs="Arial"/>
          <w:b/>
          <w:bCs/>
        </w:rPr>
      </w:pPr>
    </w:p>
    <w:p w14:paraId="38ABA005" w14:textId="77777777" w:rsidR="0058409F" w:rsidRDefault="0058409F" w:rsidP="00004B4E">
      <w:pPr>
        <w:jc w:val="both"/>
        <w:rPr>
          <w:rFonts w:ascii="Arial" w:eastAsiaTheme="minorHAnsi" w:hAnsi="Arial" w:cs="Arial"/>
          <w:b/>
          <w:bCs/>
        </w:rPr>
      </w:pPr>
    </w:p>
    <w:p w14:paraId="782EFB12" w14:textId="4DC45000" w:rsidR="00742548" w:rsidRDefault="00742548" w:rsidP="00004B4E">
      <w:pPr>
        <w:jc w:val="both"/>
        <w:rPr>
          <w:rFonts w:ascii="Arial" w:eastAsiaTheme="minorHAnsi" w:hAnsi="Arial" w:cs="Arial"/>
          <w:b/>
          <w:bCs/>
        </w:rPr>
      </w:pPr>
    </w:p>
    <w:p w14:paraId="7F3DE963" w14:textId="77777777" w:rsidR="00742548" w:rsidRPr="009A131C" w:rsidRDefault="00742548" w:rsidP="00004B4E">
      <w:pPr>
        <w:jc w:val="both"/>
        <w:rPr>
          <w:rFonts w:ascii="Arial" w:eastAsiaTheme="minorHAnsi" w:hAnsi="Arial" w:cs="Arial"/>
          <w:b/>
          <w:bCs/>
        </w:rPr>
      </w:pPr>
    </w:p>
    <w:p w14:paraId="630331BB" w14:textId="77777777" w:rsidR="009A131C" w:rsidRPr="009A131C" w:rsidRDefault="009A131C" w:rsidP="009A131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9A131C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0C97B910" w14:textId="5318831A" w:rsidR="009A131C" w:rsidRPr="009A131C" w:rsidRDefault="009A131C" w:rsidP="009A131C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14BE78AC" w14:textId="33A36465" w:rsidR="00EB02BD" w:rsidRPr="009A131C" w:rsidRDefault="009A131C" w:rsidP="009A131C">
      <w:pPr>
        <w:jc w:val="center"/>
        <w:rPr>
          <w:rFonts w:ascii="Arial" w:hAnsi="Arial" w:cs="Arial"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do CAU/SC</w:t>
      </w:r>
    </w:p>
    <w:p w14:paraId="4523BF9F" w14:textId="534F3A78" w:rsidR="00F65C7B" w:rsidRDefault="00F65C7B" w:rsidP="00E65101">
      <w:pPr>
        <w:ind w:left="-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</w:rPr>
        <w:lastRenderedPageBreak/>
        <w:t>ANEXO</w:t>
      </w:r>
      <w:r w:rsidR="0031165B">
        <w:rPr>
          <w:rFonts w:ascii="Arial" w:hAnsi="Arial" w:cs="Arial"/>
          <w:b/>
          <w:bCs/>
        </w:rPr>
        <w:t xml:space="preserve"> I</w:t>
      </w:r>
    </w:p>
    <w:p w14:paraId="2182E689" w14:textId="77777777" w:rsidR="0058409F" w:rsidRPr="00E53AA6" w:rsidRDefault="0058409F" w:rsidP="00E65101">
      <w:pPr>
        <w:ind w:left="-284"/>
        <w:jc w:val="center"/>
        <w:rPr>
          <w:rFonts w:ascii="Arial" w:hAnsi="Arial" w:cs="Arial"/>
          <w:b/>
          <w:bCs/>
        </w:rPr>
      </w:pPr>
    </w:p>
    <w:p w14:paraId="35D4820E" w14:textId="01E29B2B" w:rsidR="008C2E91" w:rsidRPr="00742548" w:rsidRDefault="008C2E91" w:rsidP="00E65101">
      <w:pPr>
        <w:spacing w:after="160" w:line="259" w:lineRule="auto"/>
        <w:ind w:left="-284"/>
        <w:jc w:val="center"/>
        <w:rPr>
          <w:rFonts w:ascii="Arial" w:eastAsia="Calibri" w:hAnsi="Arial" w:cs="Arial"/>
          <w:b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b/>
          <w:sz w:val="22"/>
          <w:szCs w:val="22"/>
          <w:lang w:eastAsia="pt-BR"/>
        </w:rPr>
        <w:t>Ofício para Ministério Público</w:t>
      </w:r>
    </w:p>
    <w:p w14:paraId="3E2B4A13" w14:textId="77777777" w:rsidR="00F65C7B" w:rsidRPr="00742548" w:rsidRDefault="00F65C7B" w:rsidP="00E65101">
      <w:pPr>
        <w:ind w:left="-284"/>
        <w:jc w:val="center"/>
        <w:rPr>
          <w:rFonts w:ascii="Arial" w:hAnsi="Arial" w:cs="Arial"/>
          <w:b/>
          <w:bCs/>
        </w:rPr>
      </w:pPr>
    </w:p>
    <w:p w14:paraId="33F7BB36" w14:textId="0E2E0D29" w:rsidR="003233DA" w:rsidRPr="00742548" w:rsidRDefault="003233DA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A Comissão de Exercício Profissional do Conselho de Arquitetura e Urbanismo de Santa Catarina - CEP-CAU/SC - manifesta a preocupação com a tomada de decisões judiciais baseada em pareceres técnicos de profis</w:t>
      </w:r>
      <w:bookmarkStart w:id="0" w:name="_GoBack"/>
      <w:bookmarkEnd w:id="0"/>
      <w:r w:rsidRPr="00742548">
        <w:rPr>
          <w:rFonts w:ascii="Arial" w:eastAsia="Calibri" w:hAnsi="Arial" w:cs="Arial"/>
          <w:sz w:val="22"/>
          <w:szCs w:val="22"/>
          <w:lang w:eastAsia="pt-BR"/>
        </w:rPr>
        <w:t>sionais não habilitados, mais especificamente no que diz respeito</w:t>
      </w:r>
      <w:r w:rsidR="008C2E91" w:rsidRPr="00742548">
        <w:rPr>
          <w:rFonts w:ascii="Arial" w:eastAsia="Calibri" w:hAnsi="Arial" w:cs="Arial"/>
          <w:sz w:val="22"/>
          <w:szCs w:val="22"/>
          <w:lang w:eastAsia="pt-BR"/>
        </w:rPr>
        <w:t xml:space="preserve"> avaliações de</w:t>
      </w: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 edificações que são consideradas patrimônio histórico.</w:t>
      </w:r>
    </w:p>
    <w:p w14:paraId="41D5E69A" w14:textId="58E614B1" w:rsidR="003233DA" w:rsidRPr="00742548" w:rsidRDefault="003233DA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Essa preocupação vem à tona após ciência dos membros desta comissão sobre processo que liberou a demolição do Antigo Estaleiro Arataca, em Florianópolis, visto</w:t>
      </w:r>
      <w:r w:rsidR="00EC352F" w:rsidRPr="00742548">
        <w:rPr>
          <w:rFonts w:ascii="Arial" w:eastAsia="Calibri" w:hAnsi="Arial" w:cs="Arial"/>
          <w:sz w:val="22"/>
          <w:szCs w:val="22"/>
          <w:lang w:eastAsia="pt-BR"/>
        </w:rPr>
        <w:t xml:space="preserve"> que a decisão se apoiou em um</w:t>
      </w: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 Laudo Técnico de Vistoria emitido por um Técnico em Edificações.  </w:t>
      </w:r>
    </w:p>
    <w:p w14:paraId="45FC6F92" w14:textId="0A6C8370" w:rsidR="003233DA" w:rsidRPr="00742548" w:rsidRDefault="003233DA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color w:val="FF0000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Cabe destacar que Técnicos em Edificações não possuem a habilitação – tanto legal como técnica - para emitir laudos que envolvem edificações históricas, pois sua formação não abrange questões históricas, sociais, culturais, arquitetônicas e artísticas, que são imprescindíveis na avaliação de Bens Culturais tombados ou que detém significativo valor histórico e cultural, material ou imaterial, urbano ou rural, para a coletividade local.</w:t>
      </w:r>
      <w:r w:rsidRPr="00742548">
        <w:rPr>
          <w:rFonts w:ascii="Arial" w:eastAsia="Calibri" w:hAnsi="Arial" w:cs="Arial"/>
          <w:color w:val="FF0000"/>
          <w:sz w:val="22"/>
          <w:szCs w:val="22"/>
          <w:lang w:eastAsia="pt-BR"/>
        </w:rPr>
        <w:t xml:space="preserve"> </w:t>
      </w:r>
    </w:p>
    <w:p w14:paraId="005114C7" w14:textId="2547035B" w:rsidR="003233DA" w:rsidRPr="00742548" w:rsidRDefault="003233DA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Esse envolvimento de profissionais que não detém o devido conhecimento nas áreas relacionadas ao patrimônio pode gerar um grande prejuízo à sociedade, pois sem o conhecimento específico (das técnicas retrospectivas, de Arquitetura histórica, de conservação, de salvaguarda e de restauração, além do conhecimento técnico estrutural da edificação ou </w:t>
      </w:r>
      <w:r w:rsidR="008C2E91" w:rsidRPr="00742548">
        <w:rPr>
          <w:rFonts w:ascii="Arial" w:eastAsia="Calibri" w:hAnsi="Arial" w:cs="Arial"/>
          <w:sz w:val="22"/>
          <w:szCs w:val="22"/>
          <w:lang w:eastAsia="pt-BR"/>
        </w:rPr>
        <w:t>b</w:t>
      </w:r>
      <w:r w:rsidRPr="00742548">
        <w:rPr>
          <w:rFonts w:ascii="Arial" w:eastAsia="Calibri" w:hAnsi="Arial" w:cs="Arial"/>
          <w:sz w:val="22"/>
          <w:szCs w:val="22"/>
          <w:lang w:eastAsia="pt-BR"/>
        </w:rPr>
        <w:t>em cultural</w:t>
      </w:r>
      <w:r w:rsidR="008C2E91" w:rsidRPr="00742548">
        <w:rPr>
          <w:rFonts w:ascii="Arial" w:eastAsia="Calibri" w:hAnsi="Arial" w:cs="Arial"/>
          <w:sz w:val="22"/>
          <w:szCs w:val="22"/>
          <w:lang w:eastAsia="pt-BR"/>
        </w:rPr>
        <w:t>,</w:t>
      </w: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  sobre os ambientes históricos como praças, largos, conjunto de edificações, centros históricos, pontos de cultura, paisagem cultural, museus de território, </w:t>
      </w:r>
      <w:proofErr w:type="spellStart"/>
      <w:r w:rsidRPr="00742548">
        <w:rPr>
          <w:rFonts w:ascii="Arial" w:eastAsia="Calibri" w:hAnsi="Arial" w:cs="Arial"/>
          <w:sz w:val="22"/>
          <w:szCs w:val="22"/>
          <w:lang w:eastAsia="pt-BR"/>
        </w:rPr>
        <w:t>etc</w:t>
      </w:r>
      <w:proofErr w:type="spellEnd"/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) a manutenção do estado integral e do valor cultural dessas áreas históricas acabam por se extinguir, subtraindo-se a identidade cultural que existe, através da permanência dos importantes registros da arquitetura e paisagem locais, por qualquer objeto, que constitui </w:t>
      </w:r>
      <w:r w:rsidR="008C2E91" w:rsidRPr="00742548">
        <w:rPr>
          <w:rFonts w:ascii="Arial" w:eastAsia="Calibri" w:hAnsi="Arial" w:cs="Arial"/>
          <w:sz w:val="22"/>
          <w:szCs w:val="22"/>
          <w:lang w:eastAsia="pt-BR"/>
        </w:rPr>
        <w:t xml:space="preserve">uma </w:t>
      </w:r>
      <w:r w:rsidRPr="00742548">
        <w:rPr>
          <w:rFonts w:ascii="Arial" w:eastAsia="Calibri" w:hAnsi="Arial" w:cs="Arial"/>
          <w:sz w:val="22"/>
          <w:szCs w:val="22"/>
          <w:lang w:eastAsia="pt-BR"/>
        </w:rPr>
        <w:t>ofensa ao direito da coletividade ou direito difuso.</w:t>
      </w:r>
    </w:p>
    <w:p w14:paraId="40CC9F28" w14:textId="2C19E30D" w:rsidR="00EC352F" w:rsidRPr="00742548" w:rsidRDefault="003233DA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Assim, torna-se imprescindível que, sempre que sejam suscitadas questões envolvendo o patrimônio histórico, sejam convocados profissionais devidamente habilitados para atuar nessa área, que são os arquitetos e urbanistas. São esses os profissionais que detém questões relacionadas ao patrimônio histórico entre seus campos de atuação, conforme dispõe parágrafo único, art., 1º, da resolução nº21 do CAU/BR:</w:t>
      </w:r>
    </w:p>
    <w:p w14:paraId="385383EA" w14:textId="77777777" w:rsidR="00EC352F" w:rsidRPr="00742548" w:rsidRDefault="00EC352F" w:rsidP="00E65101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>Parágrafo único. As atribuições de que trata este artigo aplicam-se aos seguintes campos de atuação:</w:t>
      </w:r>
    </w:p>
    <w:p w14:paraId="78282D01" w14:textId="32B7A040" w:rsidR="00EC352F" w:rsidRPr="00742548" w:rsidRDefault="00EC352F" w:rsidP="00E65101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>(...)</w:t>
      </w:r>
    </w:p>
    <w:p w14:paraId="4DE49D7A" w14:textId="3B4950FF" w:rsidR="003233DA" w:rsidRPr="00742548" w:rsidRDefault="003233DA" w:rsidP="00E65101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 xml:space="preserve">IV – </w:t>
      </w:r>
      <w:proofErr w:type="gramStart"/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>do</w:t>
      </w:r>
      <w:proofErr w:type="gramEnd"/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 xml:space="preserve"> Patrimônio Histórico Cultural e Artístico, arquitetônico, urbanístico, paisagístico, monumentos, restauro, práticas de projeto e soluções tecnológicas para reutilização, reabilitação, reconstrução, preservação, conservação, restauro e valorização de edificações, conjuntos e cidades;</w:t>
      </w:r>
    </w:p>
    <w:p w14:paraId="06B513D1" w14:textId="77777777" w:rsidR="00EC352F" w:rsidRPr="00742548" w:rsidRDefault="00EC352F" w:rsidP="00E65101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</w:p>
    <w:p w14:paraId="567A2A09" w14:textId="6BC5FB4F" w:rsidR="003233DA" w:rsidRPr="00742548" w:rsidRDefault="003233DA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A habilitação nesse campo de atuação provém de uma formação técnica e humanista, que confere a capacitação técnica, teórica e prática, para atuação no campo dos recursos culturais, relativo aos bens edificados, monumentos, conjuntos urbanos e cidades históricas</w:t>
      </w:r>
      <w:r w:rsidR="00EC352F" w:rsidRPr="00742548">
        <w:rPr>
          <w:rFonts w:ascii="Arial" w:eastAsia="Calibri" w:hAnsi="Arial" w:cs="Arial"/>
          <w:sz w:val="22"/>
          <w:szCs w:val="22"/>
          <w:lang w:eastAsia="pt-BR"/>
        </w:rPr>
        <w:t>.</w:t>
      </w:r>
    </w:p>
    <w:p w14:paraId="27AB7782" w14:textId="77777777" w:rsidR="003233DA" w:rsidRPr="00742548" w:rsidRDefault="003233DA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Desta feita, recomendamos que, em futuros processos que venham a tratar de patrimônio histórico, que seja averiguado inicialmente se o laudo apresentado é de profissional apto e habilitado para tal. Não sendo, deve-se recorrer a arquitetos e urbanistas, que poderão então </w:t>
      </w:r>
      <w:r w:rsidRPr="00742548">
        <w:rPr>
          <w:rFonts w:ascii="Arial" w:eastAsia="Calibri" w:hAnsi="Arial" w:cs="Arial"/>
          <w:sz w:val="22"/>
          <w:szCs w:val="22"/>
          <w:lang w:eastAsia="pt-BR"/>
        </w:rPr>
        <w:lastRenderedPageBreak/>
        <w:t>avaliar possíveis riscos e sopesar questões que abarcam tanto o valor da edificação para a sociedade e, possivelmente, considerar outras soluções.</w:t>
      </w:r>
    </w:p>
    <w:p w14:paraId="781480B4" w14:textId="77777777" w:rsidR="003233DA" w:rsidRPr="00742548" w:rsidRDefault="003233DA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Por fim, considerando que o Laudo Técnico de Vistoria foi emitido por um profissional pertencente ao quadro técnico da Defesa Civil, informamos que este órgão também está sendo orientado conforme exposto neste ofício. </w:t>
      </w:r>
    </w:p>
    <w:p w14:paraId="459A685C" w14:textId="4B32EA08" w:rsidR="008C2E91" w:rsidRPr="00742548" w:rsidRDefault="003233DA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Sem mais para o momento, receba nossos cordiais cumprimentos.</w:t>
      </w:r>
    </w:p>
    <w:p w14:paraId="7B4907B3" w14:textId="77777777" w:rsidR="008C2E91" w:rsidRDefault="008C2E91" w:rsidP="00E65101">
      <w:pPr>
        <w:ind w:left="-284"/>
        <w:rPr>
          <w:rFonts w:ascii="Calibri" w:eastAsia="Calibri" w:hAnsi="Calibri" w:cs="Calibri"/>
          <w:sz w:val="22"/>
          <w:szCs w:val="22"/>
          <w:lang w:eastAsia="pt-BR"/>
        </w:rPr>
      </w:pPr>
      <w:r>
        <w:rPr>
          <w:rFonts w:ascii="Calibri" w:eastAsia="Calibri" w:hAnsi="Calibri" w:cs="Calibri"/>
          <w:sz w:val="22"/>
          <w:szCs w:val="22"/>
          <w:lang w:eastAsia="pt-BR"/>
        </w:rPr>
        <w:br w:type="page"/>
      </w:r>
    </w:p>
    <w:p w14:paraId="1DEDE9E6" w14:textId="2BFEDA3A" w:rsidR="003233DA" w:rsidRDefault="00742548" w:rsidP="00E65101">
      <w:pPr>
        <w:spacing w:line="259" w:lineRule="auto"/>
        <w:ind w:left="-284"/>
        <w:jc w:val="center"/>
        <w:rPr>
          <w:rFonts w:ascii="Arial" w:eastAsia="Calibri" w:hAnsi="Arial" w:cs="Arial"/>
          <w:b/>
          <w:bCs/>
          <w:szCs w:val="22"/>
          <w:lang w:eastAsia="pt-BR"/>
        </w:rPr>
      </w:pPr>
      <w:r w:rsidRPr="00742548">
        <w:rPr>
          <w:rFonts w:ascii="Arial" w:eastAsia="Calibri" w:hAnsi="Arial" w:cs="Arial"/>
          <w:b/>
          <w:bCs/>
          <w:szCs w:val="22"/>
          <w:lang w:eastAsia="pt-BR"/>
        </w:rPr>
        <w:lastRenderedPageBreak/>
        <w:t>ANEXO II</w:t>
      </w:r>
    </w:p>
    <w:p w14:paraId="6B069B0A" w14:textId="77777777" w:rsidR="0058409F" w:rsidRPr="00742548" w:rsidRDefault="0058409F" w:rsidP="00E65101">
      <w:pPr>
        <w:spacing w:line="259" w:lineRule="auto"/>
        <w:ind w:left="-284"/>
        <w:jc w:val="center"/>
        <w:rPr>
          <w:rFonts w:ascii="Arial" w:eastAsia="Calibri" w:hAnsi="Arial" w:cs="Arial"/>
          <w:b/>
          <w:bCs/>
          <w:szCs w:val="22"/>
          <w:lang w:eastAsia="pt-BR"/>
        </w:rPr>
      </w:pPr>
    </w:p>
    <w:p w14:paraId="40264D45" w14:textId="77777777" w:rsidR="008C2E91" w:rsidRPr="00742548" w:rsidRDefault="008C2E91" w:rsidP="00E65101">
      <w:pPr>
        <w:spacing w:line="259" w:lineRule="auto"/>
        <w:ind w:left="-284"/>
        <w:jc w:val="center"/>
        <w:rPr>
          <w:rFonts w:ascii="Arial" w:eastAsia="Calibri" w:hAnsi="Arial" w:cs="Arial"/>
          <w:b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b/>
          <w:sz w:val="22"/>
          <w:szCs w:val="22"/>
          <w:lang w:eastAsia="pt-BR"/>
        </w:rPr>
        <w:t>Ofício para Defesa Civil</w:t>
      </w:r>
    </w:p>
    <w:p w14:paraId="6891AB8F" w14:textId="22314A00" w:rsidR="00F65C7B" w:rsidRPr="00742548" w:rsidRDefault="00F65C7B" w:rsidP="00E65101">
      <w:pPr>
        <w:ind w:left="-284"/>
        <w:rPr>
          <w:rFonts w:ascii="Arial" w:hAnsi="Arial" w:cs="Arial"/>
          <w:sz w:val="22"/>
          <w:szCs w:val="22"/>
        </w:rPr>
      </w:pPr>
    </w:p>
    <w:p w14:paraId="6AA16314" w14:textId="77777777" w:rsidR="008C2E91" w:rsidRPr="00742548" w:rsidRDefault="008C2E91" w:rsidP="0058409F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A Comissão de Exercício Profissional do Conselho de Arquitetura e Urbanismo de Santa Catarina - CEP-CAU/SC - manifesta a preocupação com a emissão de pareceres técnicos para edificações históricas por profissionais não habilitados, mais especificamente Técnicos em Edificações.</w:t>
      </w:r>
    </w:p>
    <w:p w14:paraId="446F2F1C" w14:textId="786F1784" w:rsidR="00EC352F" w:rsidRPr="00742548" w:rsidRDefault="008C2E91" w:rsidP="0058409F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Essa preocupação vem à tona após ciência dos membros desta comissão sobre processo que liberou a demolição do Antigo Estaleiro Arataca, em Florianópolis, </w:t>
      </w:r>
      <w:r w:rsidR="00EC352F" w:rsidRPr="00742548">
        <w:rPr>
          <w:rFonts w:ascii="Arial" w:eastAsia="Calibri" w:hAnsi="Arial" w:cs="Arial"/>
          <w:sz w:val="22"/>
          <w:szCs w:val="22"/>
          <w:lang w:eastAsia="pt-BR"/>
        </w:rPr>
        <w:t xml:space="preserve">visto que a decisão se apoiou em um Laudo Técnico de Vistoria emitido por um Técnico em Edificações.  </w:t>
      </w:r>
    </w:p>
    <w:p w14:paraId="0AB0359E" w14:textId="0BD6A471" w:rsidR="008C2E91" w:rsidRPr="00742548" w:rsidRDefault="008C2E91" w:rsidP="0058409F">
      <w:pPr>
        <w:spacing w:after="160" w:line="259" w:lineRule="auto"/>
        <w:ind w:left="-284" w:firstLine="708"/>
        <w:jc w:val="both"/>
        <w:rPr>
          <w:rFonts w:ascii="Arial" w:eastAsia="Calibri" w:hAnsi="Arial" w:cs="Arial"/>
          <w:color w:val="FF0000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Cabe destacar que técnicos em edificações não possuem a habilitação – tanto legal como técnica - para emitir laudos que envolvem edificações históricas, pois sua formação não abrange questões históricas, sociais, culturais, arquitetônicas e artísticas que são imprescindíveis na avaliação de Bens Culturais tombados ou que, detém significativo valor histórico e cultural, material ou imaterial, urbano ou rural, para a coletividade local.</w:t>
      </w:r>
      <w:r w:rsidRPr="00742548">
        <w:rPr>
          <w:rFonts w:ascii="Arial" w:eastAsia="Calibri" w:hAnsi="Arial" w:cs="Arial"/>
          <w:color w:val="FF0000"/>
          <w:sz w:val="22"/>
          <w:szCs w:val="22"/>
          <w:lang w:eastAsia="pt-BR"/>
        </w:rPr>
        <w:t xml:space="preserve"> </w:t>
      </w:r>
    </w:p>
    <w:p w14:paraId="250591D7" w14:textId="30588510" w:rsidR="008C2E91" w:rsidRPr="00742548" w:rsidRDefault="008C2E91" w:rsidP="0058409F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Esse envolvimento de profissionais que não detém o devido conhecimento nas áreas relacionadas ao patrimônio pode gerar um grande prejuízo à sociedade, pois sem o conhecimento específico( das técnicas retrospectivas, de Arquitetura histórica, de conservação, de salvaguarda e de restauração, além do conhecimento técnico estrutural da edificação ou Bem cultural  sobre os ambientes históricos como praças, largos, conjunto de edificações, centros históricos, pontos de cultura, paisagem cultural, museus de território, </w:t>
      </w:r>
      <w:proofErr w:type="spellStart"/>
      <w:r w:rsidRPr="00742548">
        <w:rPr>
          <w:rFonts w:ascii="Arial" w:eastAsia="Calibri" w:hAnsi="Arial" w:cs="Arial"/>
          <w:sz w:val="22"/>
          <w:szCs w:val="22"/>
          <w:lang w:eastAsia="pt-BR"/>
        </w:rPr>
        <w:t>etc</w:t>
      </w:r>
      <w:proofErr w:type="spellEnd"/>
      <w:r w:rsidRPr="00742548">
        <w:rPr>
          <w:rFonts w:ascii="Arial" w:eastAsia="Calibri" w:hAnsi="Arial" w:cs="Arial"/>
          <w:sz w:val="22"/>
          <w:szCs w:val="22"/>
          <w:lang w:eastAsia="pt-BR"/>
        </w:rPr>
        <w:t>) a manutenção do estado integral e do valor cultural dessas áreas históricas, acabam por se extinguir, subtraindo-se a identidade cultural que existe, através da permanência dos importantes registros da arquitetura e paisagem locais, por qualquer objeto, que constitui em ofensa ao direito da coletividade ou direito difuso.</w:t>
      </w:r>
    </w:p>
    <w:p w14:paraId="61B8BBB9" w14:textId="77777777" w:rsidR="008C2E91" w:rsidRPr="00742548" w:rsidRDefault="008C2E91" w:rsidP="0058409F">
      <w:pPr>
        <w:spacing w:after="160" w:line="259" w:lineRule="auto"/>
        <w:ind w:left="-284" w:firstLine="708"/>
        <w:jc w:val="both"/>
        <w:rPr>
          <w:rFonts w:ascii="Arial" w:eastAsia="Arial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Assim, torna-se imprescindível que, sempre que sejam suscitadas questões envolvendo o patrimônio histórico, sejam convocados profissionais devidamente habilitados para atuar nessa área, que são os arquitetos e urbanistas. São esses os profissionais que detém questões relacionadas ao patrimônio histórico entre seus entre seus campos de atuação, conforme dispõe parágrafo único, art., 1º, da resolução nº21 do CAU/BR:</w:t>
      </w:r>
    </w:p>
    <w:p w14:paraId="1B80046A" w14:textId="77777777" w:rsidR="00EC352F" w:rsidRPr="00742548" w:rsidRDefault="00EC352F" w:rsidP="0058409F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>Parágrafo único. As atribuições de que trata este artigo aplicam-se aos seguintes campos de atuação:</w:t>
      </w:r>
    </w:p>
    <w:p w14:paraId="19360976" w14:textId="77777777" w:rsidR="00EC352F" w:rsidRPr="00742548" w:rsidRDefault="00EC352F" w:rsidP="0058409F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>(...)</w:t>
      </w:r>
    </w:p>
    <w:p w14:paraId="4915BB20" w14:textId="61B88A7F" w:rsidR="00EC352F" w:rsidRPr="00742548" w:rsidRDefault="00EC352F" w:rsidP="0058409F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 xml:space="preserve">IV – </w:t>
      </w:r>
      <w:proofErr w:type="gramStart"/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>do</w:t>
      </w:r>
      <w:proofErr w:type="gramEnd"/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 xml:space="preserve"> Patrimônio Histórico Cultural e Artístico, arquitetônico, urbanístico, paisagístico, monumentos, restauro, práticas de projeto e soluções tecnológicas para reutilização, reabilitação, reconstrução, preservação, conservação, restauro e valorização de edificações, conjuntos e cidades;</w:t>
      </w:r>
    </w:p>
    <w:p w14:paraId="7FA61C19" w14:textId="77777777" w:rsidR="00EC352F" w:rsidRPr="00742548" w:rsidRDefault="00EC352F" w:rsidP="0058409F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</w:p>
    <w:p w14:paraId="1F955996" w14:textId="77777777" w:rsidR="008C2E91" w:rsidRPr="00742548" w:rsidRDefault="008C2E91" w:rsidP="0058409F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A habilitação nesse campo de atuação provém de uma formação técnica e humanista, que confere a capacitação técnica, teórica e prática, para atuação no campo dos recursos culturais, relativo aos bens edificados, monumentos, conjuntos urbanos e cidades históricas</w:t>
      </w:r>
    </w:p>
    <w:p w14:paraId="3F9A8D9C" w14:textId="77777777" w:rsidR="008C2E91" w:rsidRPr="00742548" w:rsidRDefault="008C2E91" w:rsidP="0058409F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Desta feita, recomendamos que a Defesa Civil possua em seus quadros profissionais habilitados, no caso arquitetos e urbanistas, para que esses possam responder tecnicamente por qualquer intervenção necessária em patrimônios históricos e culturais. Não sendo possível contar com este profissional no quadro técnico, destacamos a obrigação de buscar um </w:t>
      </w:r>
      <w:r w:rsidRPr="00742548">
        <w:rPr>
          <w:rFonts w:ascii="Arial" w:eastAsia="Calibri" w:hAnsi="Arial" w:cs="Arial"/>
          <w:sz w:val="22"/>
          <w:szCs w:val="22"/>
          <w:lang w:eastAsia="pt-BR"/>
        </w:rPr>
        <w:lastRenderedPageBreak/>
        <w:t>profissional devidamente habilitado para tal ato, sempre que a questão envolva patrimônio histórico e cultural.</w:t>
      </w:r>
    </w:p>
    <w:p w14:paraId="27376367" w14:textId="58AA599C" w:rsidR="00742548" w:rsidRDefault="008C2E91" w:rsidP="0058409F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Sem mais para o momento, receba nossos cordiais cumprimentos.</w:t>
      </w:r>
    </w:p>
    <w:p w14:paraId="1A3CA159" w14:textId="77777777" w:rsidR="00742548" w:rsidRDefault="00742548" w:rsidP="0058409F">
      <w:pPr>
        <w:jc w:val="both"/>
        <w:rPr>
          <w:rFonts w:ascii="Arial" w:eastAsia="Calibri" w:hAnsi="Arial" w:cs="Arial"/>
          <w:sz w:val="22"/>
          <w:szCs w:val="22"/>
          <w:lang w:eastAsia="pt-BR"/>
        </w:rPr>
      </w:pPr>
      <w:r>
        <w:rPr>
          <w:rFonts w:ascii="Arial" w:eastAsia="Calibri" w:hAnsi="Arial" w:cs="Arial"/>
          <w:sz w:val="22"/>
          <w:szCs w:val="22"/>
          <w:lang w:eastAsia="pt-BR"/>
        </w:rPr>
        <w:br w:type="page"/>
      </w:r>
    </w:p>
    <w:p w14:paraId="6A673097" w14:textId="116C8804" w:rsidR="00B4308D" w:rsidRDefault="008C2E91" w:rsidP="00E65101">
      <w:pPr>
        <w:spacing w:line="259" w:lineRule="auto"/>
        <w:ind w:left="-284"/>
        <w:jc w:val="center"/>
        <w:rPr>
          <w:rFonts w:ascii="Arial" w:eastAsia="Calibri" w:hAnsi="Arial" w:cs="Arial"/>
          <w:b/>
          <w:bCs/>
          <w:szCs w:val="22"/>
          <w:lang w:eastAsia="pt-BR"/>
        </w:rPr>
      </w:pPr>
      <w:r w:rsidRPr="00742548">
        <w:rPr>
          <w:rFonts w:ascii="Arial" w:eastAsia="Calibri" w:hAnsi="Arial" w:cs="Arial"/>
          <w:b/>
          <w:bCs/>
          <w:szCs w:val="22"/>
          <w:lang w:eastAsia="pt-BR"/>
        </w:rPr>
        <w:lastRenderedPageBreak/>
        <w:t>ANEXO III</w:t>
      </w:r>
    </w:p>
    <w:p w14:paraId="2D363E62" w14:textId="76D62E80" w:rsidR="008C2E91" w:rsidRPr="00742548" w:rsidRDefault="008C2E91" w:rsidP="00E65101">
      <w:pPr>
        <w:spacing w:line="259" w:lineRule="auto"/>
        <w:ind w:left="-284"/>
        <w:jc w:val="center"/>
        <w:rPr>
          <w:rFonts w:ascii="Arial" w:eastAsia="Calibri" w:hAnsi="Arial" w:cs="Arial"/>
          <w:b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b/>
          <w:sz w:val="22"/>
          <w:szCs w:val="22"/>
          <w:lang w:eastAsia="pt-BR"/>
        </w:rPr>
        <w:t>Ofício para Rede de Controle</w:t>
      </w:r>
    </w:p>
    <w:p w14:paraId="11C2E4A2" w14:textId="77777777" w:rsidR="00B4308D" w:rsidRPr="00742548" w:rsidRDefault="00B4308D" w:rsidP="00E65101">
      <w:pPr>
        <w:spacing w:line="259" w:lineRule="auto"/>
        <w:ind w:left="-284"/>
        <w:jc w:val="center"/>
        <w:rPr>
          <w:rFonts w:ascii="Arial" w:eastAsia="Calibri" w:hAnsi="Arial" w:cs="Arial"/>
          <w:b/>
          <w:sz w:val="22"/>
          <w:szCs w:val="22"/>
          <w:lang w:eastAsia="pt-BR"/>
        </w:rPr>
      </w:pPr>
    </w:p>
    <w:p w14:paraId="150402C8" w14:textId="77777777" w:rsidR="008C2E91" w:rsidRPr="00742548" w:rsidRDefault="008C2E91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A Comissão de Exercício Profissional do Conselho de Arquitetura e Urbanismo de Santa Catarina - CEP-CAU/SC - manifesta a preocupação com a emissão, por profissionais não habilitados, de Laudos Técnicos de Vistoria para edificações históricas, e que posteriormente são utilizados como base para decisões judiciais.</w:t>
      </w:r>
    </w:p>
    <w:p w14:paraId="55EB6994" w14:textId="77777777" w:rsidR="008C2E91" w:rsidRPr="00742548" w:rsidRDefault="008C2E91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Essa preocupação vem à tona após ciência dos membros desta comissão sobre processo que liberou a demolição do Antigo Estaleiro Arataca, em Florianópolis., visto que foi baseado em um Laudo Técnico de Vistoria de um Técnico em Edificações.  </w:t>
      </w:r>
    </w:p>
    <w:p w14:paraId="433E3213" w14:textId="75DFEA8D" w:rsidR="008C2E91" w:rsidRPr="00742548" w:rsidRDefault="008C2E91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Cabe destacar que técnicos em edificações não possuem a habilitação – tanto legal como técnica - para emitir laudos que envolvem edificações históricas, pois sua formação não abrange questões históricas, sociais, culturais, arquitetônicas e artísticas que são imprescindíveis na avaliação de Bens Culturais tombados ou que, detém significativo valor histórico e cultural, material ou imaterial, urbano ou rural, para a coletividade local. </w:t>
      </w:r>
    </w:p>
    <w:p w14:paraId="4413DE8A" w14:textId="6506089D" w:rsidR="008C2E91" w:rsidRPr="00742548" w:rsidRDefault="008C2E91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Esse envolvimento de profissionais que não detém o devido conhecimento nas áreas relacionadas ao patrimônio pode gerar um grande prejuízo à sociedade, pois sem o conhecimento específico( das técnicas retrospectivas, de Arquitetura histórica, de conservação, de salvaguarda e de restauração, além do conhecimento técnico estrutural da edificação ou Bem cultural  sobre os ambientes históricos como praças, largos, conjunto de edificações, centros históricos, pontos de cultura, paisagem cultural, museus de território, </w:t>
      </w:r>
      <w:proofErr w:type="spellStart"/>
      <w:r w:rsidRPr="00742548">
        <w:rPr>
          <w:rFonts w:ascii="Arial" w:eastAsia="Calibri" w:hAnsi="Arial" w:cs="Arial"/>
          <w:sz w:val="22"/>
          <w:szCs w:val="22"/>
          <w:lang w:eastAsia="pt-BR"/>
        </w:rPr>
        <w:t>etc</w:t>
      </w:r>
      <w:proofErr w:type="spellEnd"/>
      <w:r w:rsidRPr="00742548">
        <w:rPr>
          <w:rFonts w:ascii="Arial" w:eastAsia="Calibri" w:hAnsi="Arial" w:cs="Arial"/>
          <w:sz w:val="22"/>
          <w:szCs w:val="22"/>
          <w:lang w:eastAsia="pt-BR"/>
        </w:rPr>
        <w:t>) a manutenção do estado integral e do valor cultural dessas áreas históricas, acabam por se extinguir, subtraindo-se a identidade cultural que existe, através da permanência dos importantes registros da arquitetura e paisagem locais, por qualquer objeto, que constitui ofensa ao direito da coletividade ou direito difuso.</w:t>
      </w:r>
    </w:p>
    <w:p w14:paraId="494D3397" w14:textId="77777777" w:rsidR="008C2E91" w:rsidRPr="00742548" w:rsidRDefault="008C2E91" w:rsidP="00E65101">
      <w:pPr>
        <w:spacing w:after="160" w:line="259" w:lineRule="auto"/>
        <w:ind w:left="-284" w:firstLine="708"/>
        <w:jc w:val="both"/>
        <w:rPr>
          <w:rFonts w:ascii="Arial" w:eastAsia="Arial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Assim, torna-se imprescindível que, sempre que sejam suscitadas questões envolvendo o patrimônio histórico, sejam convocados profissionais devidamente habilitados para atuar nessa área, que são os arquitetos e urbanistas. São esses os profissionais que detém questões relacionadas ao patrimônio histórico entre seus entre seus campos de atuação, conforme dispõe parágrafo único, art., 1º, da resolução nº21 do CAU/BR:</w:t>
      </w:r>
    </w:p>
    <w:p w14:paraId="2290F5DA" w14:textId="77777777" w:rsidR="00EC352F" w:rsidRPr="00742548" w:rsidRDefault="00EC352F" w:rsidP="00E65101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>Parágrafo único. As atribuições de que trata este artigo aplicam-se aos seguintes campos de atuação:</w:t>
      </w:r>
    </w:p>
    <w:p w14:paraId="2E346EF5" w14:textId="77777777" w:rsidR="00EC352F" w:rsidRPr="00742548" w:rsidRDefault="00EC352F" w:rsidP="00E65101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>(...)</w:t>
      </w:r>
    </w:p>
    <w:p w14:paraId="2C9180C6" w14:textId="33856353" w:rsidR="00EC352F" w:rsidRPr="00742548" w:rsidRDefault="00EC352F" w:rsidP="00E65101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 xml:space="preserve">IV – </w:t>
      </w:r>
      <w:proofErr w:type="gramStart"/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>do</w:t>
      </w:r>
      <w:proofErr w:type="gramEnd"/>
      <w:r w:rsidRPr="00742548">
        <w:rPr>
          <w:rFonts w:ascii="Arial" w:eastAsia="Calibri" w:hAnsi="Arial" w:cs="Arial"/>
          <w:i/>
          <w:sz w:val="22"/>
          <w:szCs w:val="22"/>
          <w:lang w:eastAsia="pt-BR"/>
        </w:rPr>
        <w:t xml:space="preserve"> Patrimônio Histórico Cultural e Artístico, arquitetônico, urbanístico, paisagístico, monumentos, restauro, práticas de projeto e soluções tecnológicas para reutilização, reabilitação, reconstrução, preservação, conservação, restauro e valorização de edificações, conjuntos e cidades;</w:t>
      </w:r>
    </w:p>
    <w:p w14:paraId="1F403D66" w14:textId="77777777" w:rsidR="00EC352F" w:rsidRPr="00742548" w:rsidRDefault="00EC352F" w:rsidP="00E65101">
      <w:pPr>
        <w:ind w:left="-284" w:right="-7"/>
        <w:jc w:val="both"/>
        <w:rPr>
          <w:rFonts w:ascii="Arial" w:eastAsia="Calibri" w:hAnsi="Arial" w:cs="Arial"/>
          <w:i/>
          <w:sz w:val="22"/>
          <w:szCs w:val="22"/>
          <w:lang w:eastAsia="pt-BR"/>
        </w:rPr>
      </w:pPr>
    </w:p>
    <w:p w14:paraId="56C6802D" w14:textId="77777777" w:rsidR="008C2E91" w:rsidRPr="00742548" w:rsidRDefault="008C2E91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A habilitação nesse campo de atuação provém de uma formação técnica e humanista, que confere a capacitação técnica, teórica e prática, para atuação no campo dos recursos culturais, relativo aos bens edificados, monumentos, conjuntos urbanos e cidades históricas</w:t>
      </w:r>
    </w:p>
    <w:p w14:paraId="3825E788" w14:textId="79CBBC9F" w:rsidR="00EC352F" w:rsidRPr="00742548" w:rsidRDefault="008C2E91" w:rsidP="00E65101">
      <w:pPr>
        <w:spacing w:after="160" w:line="259" w:lineRule="auto"/>
        <w:ind w:left="-284" w:firstLine="708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 xml:space="preserve">Assim sendo, a CEP-CAU/SC solicita que a preocupação externada neste ofício seja repassada às instituições que fazem parte da Rede de Controle da Gestão Pública em Santa Catarina, visando que o patrimônio histórico de Santa Catarina </w:t>
      </w:r>
      <w:r w:rsidR="00B4308D" w:rsidRPr="00742548">
        <w:rPr>
          <w:rFonts w:ascii="Arial" w:eastAsia="Calibri" w:hAnsi="Arial" w:cs="Arial"/>
          <w:sz w:val="22"/>
          <w:szCs w:val="22"/>
          <w:lang w:eastAsia="pt-BR"/>
        </w:rPr>
        <w:t>seja tratado com a atenção e respeito que lhe é devido.</w:t>
      </w:r>
    </w:p>
    <w:p w14:paraId="4977CCED" w14:textId="4C2518BC" w:rsidR="0031165B" w:rsidRDefault="008C2E91" w:rsidP="00E65101">
      <w:pPr>
        <w:spacing w:after="160" w:line="259" w:lineRule="auto"/>
        <w:ind w:left="-284" w:firstLine="708"/>
        <w:rPr>
          <w:rFonts w:ascii="Arial" w:hAnsi="Arial" w:cs="Arial"/>
          <w:sz w:val="22"/>
          <w:szCs w:val="22"/>
        </w:rPr>
      </w:pPr>
      <w:r w:rsidRPr="00742548">
        <w:rPr>
          <w:rFonts w:ascii="Arial" w:eastAsia="Calibri" w:hAnsi="Arial" w:cs="Arial"/>
          <w:sz w:val="22"/>
          <w:szCs w:val="22"/>
          <w:lang w:eastAsia="pt-BR"/>
        </w:rPr>
        <w:t>Sem mais para o momento, receba nossos cordiais cumprimentos.</w:t>
      </w:r>
      <w:r w:rsidR="0031165B">
        <w:rPr>
          <w:rFonts w:ascii="Arial" w:hAnsi="Arial" w:cs="Arial"/>
          <w:sz w:val="22"/>
          <w:szCs w:val="22"/>
        </w:rPr>
        <w:br w:type="page"/>
      </w:r>
    </w:p>
    <w:p w14:paraId="42D173C0" w14:textId="77777777" w:rsidR="00C808B8" w:rsidRPr="00BE5D89" w:rsidRDefault="00C808B8" w:rsidP="00C808B8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5</w:t>
      </w: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EXTRA</w:t>
      </w: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>ORDINÁRIA DA CEP - CAU/SC</w:t>
      </w:r>
    </w:p>
    <w:p w14:paraId="78526649" w14:textId="77777777" w:rsidR="00C808B8" w:rsidRPr="00BE5D89" w:rsidRDefault="00C808B8" w:rsidP="00C808B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0C2B010C" w14:textId="77777777" w:rsidR="00C808B8" w:rsidRPr="00BE5D89" w:rsidRDefault="00C808B8" w:rsidP="00C808B8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E5D8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8D3ED04" w14:textId="77777777" w:rsidR="00C808B8" w:rsidRPr="00BE5D89" w:rsidRDefault="00C808B8" w:rsidP="00C808B8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709"/>
        <w:gridCol w:w="708"/>
        <w:gridCol w:w="851"/>
        <w:gridCol w:w="992"/>
      </w:tblGrid>
      <w:tr w:rsidR="00C808B8" w:rsidRPr="00BE5D89" w14:paraId="209B6B1D" w14:textId="77777777" w:rsidTr="00C808B8">
        <w:tc>
          <w:tcPr>
            <w:tcW w:w="2405" w:type="dxa"/>
            <w:vMerge w:val="restart"/>
            <w:shd w:val="clear" w:color="auto" w:fill="auto"/>
            <w:vAlign w:val="center"/>
          </w:tcPr>
          <w:p w14:paraId="2538B37B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544" w:type="dxa"/>
            <w:vMerge w:val="restart"/>
          </w:tcPr>
          <w:p w14:paraId="0B4A4749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B9D6794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C808B8" w:rsidRPr="00BE5D89" w14:paraId="4D6EDCCF" w14:textId="77777777" w:rsidTr="00C808B8">
        <w:tc>
          <w:tcPr>
            <w:tcW w:w="2405" w:type="dxa"/>
            <w:vMerge/>
            <w:shd w:val="clear" w:color="auto" w:fill="auto"/>
            <w:vAlign w:val="center"/>
          </w:tcPr>
          <w:p w14:paraId="056902EB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8A19A82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B13C59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51B57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E5D89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6BFDC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E5D89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28B19F0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E5D89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C808B8" w:rsidRPr="00BE5D89" w14:paraId="7EFD1F6F" w14:textId="77777777" w:rsidTr="00C808B8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19DC20" w14:textId="77777777" w:rsidR="00C808B8" w:rsidRPr="00BE5D89" w:rsidRDefault="00C808B8" w:rsidP="00C56B36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E5D89">
              <w:rPr>
                <w:rFonts w:ascii="Arial" w:hAnsi="Arial" w:cs="Arial"/>
                <w:sz w:val="22"/>
                <w:szCs w:val="22"/>
              </w:rPr>
              <w:t>Coordenadora</w:t>
            </w:r>
          </w:p>
        </w:tc>
        <w:tc>
          <w:tcPr>
            <w:tcW w:w="3544" w:type="dxa"/>
          </w:tcPr>
          <w:p w14:paraId="481E72D1" w14:textId="77777777" w:rsidR="00C808B8" w:rsidRPr="00CB4028" w:rsidRDefault="00C808B8" w:rsidP="00C56B36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B4028"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27A8CC" w14:textId="242F165C" w:rsidR="00C808B8" w:rsidRPr="00BE5D89" w:rsidRDefault="001C54BF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837107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93E7FE" w14:textId="77777777" w:rsidR="00C808B8" w:rsidRPr="00BE5D89" w:rsidRDefault="00C808B8" w:rsidP="00C56B36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37DBEE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8B8" w:rsidRPr="00BE5D89" w14:paraId="5912F344" w14:textId="77777777" w:rsidTr="00C808B8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4FABEDB1" w14:textId="77777777" w:rsidR="00C808B8" w:rsidRPr="00BE5D89" w:rsidRDefault="00C808B8" w:rsidP="00C56B3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544" w:type="dxa"/>
          </w:tcPr>
          <w:p w14:paraId="11CA8F9F" w14:textId="77777777" w:rsidR="00C808B8" w:rsidRPr="00CB4028" w:rsidRDefault="00C808B8" w:rsidP="00C56B36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B4028">
              <w:rPr>
                <w:rFonts w:ascii="Arial" w:hAnsi="Arial" w:cs="Arial"/>
                <w:sz w:val="22"/>
                <w:szCs w:val="22"/>
              </w:rPr>
              <w:t>Luís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F484F4" w14:textId="3D798397" w:rsidR="00C808B8" w:rsidRPr="00BE5D89" w:rsidRDefault="001C54BF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9D5557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DFB622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5B13C9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8B8" w:rsidRPr="00BE5D89" w14:paraId="0C96E1DA" w14:textId="77777777" w:rsidTr="00C808B8"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470B4B40" w14:textId="77777777" w:rsidR="00C808B8" w:rsidRPr="00BE5D89" w:rsidRDefault="00C808B8" w:rsidP="00C56B3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17529E09" w14:textId="77777777" w:rsidR="00C808B8" w:rsidRPr="00CB4028" w:rsidRDefault="00C808B8" w:rsidP="00C56B36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857332" w14:textId="79BA0C39" w:rsidR="00C808B8" w:rsidRPr="00BE5D89" w:rsidRDefault="001C54BF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A11A49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7A2330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A4928C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8B8" w:rsidRPr="00BE5D89" w14:paraId="5582E57E" w14:textId="77777777" w:rsidTr="00C808B8">
        <w:trPr>
          <w:trHeight w:val="30"/>
        </w:trPr>
        <w:tc>
          <w:tcPr>
            <w:tcW w:w="2405" w:type="dxa"/>
            <w:shd w:val="clear" w:color="auto" w:fill="auto"/>
            <w:tcMar>
              <w:top w:w="28" w:type="dxa"/>
              <w:bottom w:w="28" w:type="dxa"/>
            </w:tcMar>
          </w:tcPr>
          <w:p w14:paraId="136310BC" w14:textId="77777777" w:rsidR="00C808B8" w:rsidRPr="00BE5D89" w:rsidRDefault="00C808B8" w:rsidP="00C56B3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BE5D89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Suplente</w:t>
            </w:r>
          </w:p>
        </w:tc>
        <w:tc>
          <w:tcPr>
            <w:tcW w:w="3544" w:type="dxa"/>
          </w:tcPr>
          <w:p w14:paraId="5A85BA09" w14:textId="1198A539" w:rsidR="00C808B8" w:rsidRPr="00CB4028" w:rsidRDefault="00C808B8" w:rsidP="00C56B36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B4028">
              <w:rPr>
                <w:rFonts w:ascii="Arial" w:hAnsi="Arial" w:cs="Arial"/>
                <w:sz w:val="22"/>
                <w:szCs w:val="22"/>
              </w:rPr>
              <w:t>Willia</w:t>
            </w:r>
            <w:r w:rsidR="001C54BF">
              <w:rPr>
                <w:rFonts w:ascii="Arial" w:hAnsi="Arial" w:cs="Arial"/>
                <w:sz w:val="22"/>
                <w:szCs w:val="22"/>
              </w:rPr>
              <w:t>m</w:t>
            </w:r>
            <w:r w:rsidRPr="00CB4028">
              <w:rPr>
                <w:rFonts w:ascii="Arial" w:hAnsi="Arial" w:cs="Arial"/>
                <w:sz w:val="22"/>
                <w:szCs w:val="22"/>
              </w:rPr>
              <w:t xml:space="preserve"> dos Santos </w:t>
            </w:r>
            <w:proofErr w:type="spellStart"/>
            <w:r w:rsidRPr="00CB4028">
              <w:rPr>
                <w:rFonts w:ascii="Arial" w:hAnsi="Arial" w:cs="Arial"/>
                <w:sz w:val="22"/>
                <w:szCs w:val="22"/>
              </w:rPr>
              <w:t>Vefago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3EDEE2" w14:textId="7173D4C6" w:rsidR="00C808B8" w:rsidRPr="00BE5D89" w:rsidRDefault="001C54BF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F9685C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25463E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04BAE6" w14:textId="77777777" w:rsidR="00C808B8" w:rsidRPr="00BE5D89" w:rsidRDefault="00C808B8" w:rsidP="00C56B36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042E22" w14:textId="77777777" w:rsidR="009102E1" w:rsidRPr="009102E1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96A8AD2" w14:textId="77777777" w:rsidR="009102E1" w:rsidRPr="009102E1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9102E1" w14:paraId="3E7BA335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1F1BB8C6" w14:textId="04CEAB17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  <w:r w:rsidR="005361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75C642B" w14:textId="527C5A53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02E1" w:rsidRPr="009102E1" w14:paraId="7A698D0D" w14:textId="77777777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14:paraId="2830FD13" w14:textId="6AA8B046" w:rsidR="00533684" w:rsidRPr="00004B4E" w:rsidRDefault="009A131C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131C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C808B8" w:rsidRPr="00C808B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37002F" w:rsidRPr="00C808B8">
              <w:rPr>
                <w:rFonts w:ascii="Arial" w:hAnsi="Arial" w:cs="Arial"/>
                <w:bCs/>
                <w:sz w:val="22"/>
                <w:szCs w:val="22"/>
              </w:rPr>
              <w:t>ª</w:t>
            </w:r>
            <w:r w:rsidRPr="00C808B8">
              <w:rPr>
                <w:rFonts w:ascii="Arial" w:hAnsi="Arial" w:cs="Arial"/>
                <w:bCs/>
                <w:sz w:val="22"/>
                <w:szCs w:val="22"/>
              </w:rPr>
              <w:t xml:space="preserve"> Reunião </w:t>
            </w:r>
            <w:r w:rsidR="00C808B8" w:rsidRPr="00C808B8">
              <w:rPr>
                <w:rFonts w:ascii="Arial" w:hAnsi="Arial" w:cs="Arial"/>
                <w:bCs/>
                <w:sz w:val="22"/>
                <w:szCs w:val="22"/>
              </w:rPr>
              <w:t>Extrao</w:t>
            </w:r>
            <w:r w:rsidRPr="00C808B8">
              <w:rPr>
                <w:rFonts w:ascii="Arial" w:hAnsi="Arial" w:cs="Arial"/>
                <w:bCs/>
                <w:sz w:val="22"/>
                <w:szCs w:val="22"/>
              </w:rPr>
              <w:t>rdinária de 2024</w:t>
            </w:r>
            <w:r w:rsidR="0058409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9102E1" w:rsidRPr="009102E1" w14:paraId="7B1C0E4F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42528B0C" w14:textId="1E8E6D5D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742548">
              <w:rPr>
                <w:rFonts w:ascii="Arial" w:hAnsi="Arial" w:cs="Arial"/>
                <w:sz w:val="22"/>
                <w:szCs w:val="22"/>
              </w:rPr>
              <w:t>2</w:t>
            </w:r>
            <w:r w:rsidR="0031165B">
              <w:rPr>
                <w:rFonts w:ascii="Arial" w:hAnsi="Arial" w:cs="Arial"/>
                <w:sz w:val="22"/>
                <w:szCs w:val="22"/>
              </w:rPr>
              <w:t>8</w:t>
            </w:r>
            <w:r w:rsidR="0037002F">
              <w:rPr>
                <w:rFonts w:ascii="Arial" w:hAnsi="Arial" w:cs="Arial"/>
                <w:sz w:val="22"/>
                <w:szCs w:val="22"/>
              </w:rPr>
              <w:t>/</w:t>
            </w:r>
            <w:r w:rsidR="00547E31">
              <w:rPr>
                <w:rFonts w:ascii="Arial" w:hAnsi="Arial" w:cs="Arial"/>
                <w:sz w:val="22"/>
                <w:szCs w:val="22"/>
              </w:rPr>
              <w:t>1</w:t>
            </w:r>
            <w:r w:rsidR="0031165B">
              <w:rPr>
                <w:rFonts w:ascii="Arial" w:hAnsi="Arial" w:cs="Arial"/>
                <w:sz w:val="22"/>
                <w:szCs w:val="22"/>
              </w:rPr>
              <w:t>1</w:t>
            </w:r>
            <w:r w:rsidR="009A131C" w:rsidRPr="009A131C">
              <w:rPr>
                <w:rFonts w:ascii="Arial" w:hAnsi="Arial" w:cs="Arial"/>
                <w:sz w:val="22"/>
                <w:szCs w:val="22"/>
              </w:rPr>
              <w:t>/2024</w:t>
            </w:r>
            <w:r w:rsidR="0058409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DADEB0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0A478" w14:textId="6B84A5C9" w:rsidR="00353C37" w:rsidRDefault="009102E1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C808B8" w:rsidRPr="00C808B8">
              <w:rPr>
                <w:rFonts w:ascii="Arial" w:hAnsi="Arial" w:cs="Arial"/>
                <w:sz w:val="22"/>
                <w:szCs w:val="22"/>
              </w:rPr>
              <w:t>Demolição Estaleiro Arataca – Atribuição para</w:t>
            </w:r>
            <w:r w:rsidR="00CB641C">
              <w:rPr>
                <w:rFonts w:ascii="Arial" w:hAnsi="Arial" w:cs="Arial"/>
                <w:sz w:val="22"/>
                <w:szCs w:val="22"/>
              </w:rPr>
              <w:t xml:space="preserve"> avaliação</w:t>
            </w:r>
            <w:r w:rsidR="00C808B8" w:rsidRPr="00C808B8">
              <w:rPr>
                <w:rFonts w:ascii="Arial" w:hAnsi="Arial" w:cs="Arial"/>
                <w:sz w:val="22"/>
                <w:szCs w:val="22"/>
              </w:rPr>
              <w:t xml:space="preserve"> de patrimônio histórico.</w:t>
            </w:r>
          </w:p>
          <w:p w14:paraId="659408A2" w14:textId="1C0CAE1F" w:rsidR="00C808B8" w:rsidRPr="00004B4E" w:rsidRDefault="00C808B8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70F212B8" w14:textId="77777777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14:paraId="4D91FF04" w14:textId="791C39B1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D91CFE" w:rsidRPr="00004B4E">
              <w:rPr>
                <w:rFonts w:ascii="Arial" w:hAnsi="Arial" w:cs="Arial"/>
                <w:sz w:val="22"/>
                <w:szCs w:val="22"/>
              </w:rPr>
              <w:t>(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="009A131C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E5DD645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4FBF00B6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5EBA9AE2" w14:textId="77777777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004B4E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1C50E37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B4E" w:rsidRPr="009102E1" w14:paraId="63E0A0E0" w14:textId="77777777" w:rsidTr="00B07A50">
        <w:trPr>
          <w:trHeight w:val="257"/>
        </w:trPr>
        <w:tc>
          <w:tcPr>
            <w:tcW w:w="4530" w:type="dxa"/>
            <w:shd w:val="clear" w:color="auto" w:fill="D9D9D9"/>
          </w:tcPr>
          <w:p w14:paraId="6D8B30D0" w14:textId="55EA04FE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Secretário da Reunião: </w:t>
            </w:r>
            <w:r w:rsidRPr="00004B4E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530" w:type="dxa"/>
            <w:shd w:val="clear" w:color="auto" w:fill="D9D9D9"/>
          </w:tcPr>
          <w:p w14:paraId="0FDC8E95" w14:textId="407C6CEF" w:rsidR="00004B4E" w:rsidRPr="00004B4E" w:rsidRDefault="00004B4E" w:rsidP="009A131C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Condutora da Reunião: </w:t>
            </w:r>
            <w:r w:rsidRPr="00004B4E">
              <w:rPr>
                <w:rFonts w:ascii="Arial" w:eastAsia="MS Mincho" w:hAnsi="Arial" w:cs="Arial"/>
                <w:sz w:val="22"/>
              </w:rPr>
              <w:t>Coordenadora</w:t>
            </w:r>
            <w:r w:rsidRPr="00004B4E">
              <w:rPr>
                <w:rFonts w:ascii="Arial" w:hAnsi="Arial" w:cs="Arial"/>
                <w:sz w:val="22"/>
              </w:rPr>
              <w:t xml:space="preserve"> Eliane </w:t>
            </w:r>
            <w:r w:rsidR="00547E31">
              <w:rPr>
                <w:rFonts w:ascii="Arial" w:hAnsi="Arial" w:cs="Arial"/>
                <w:sz w:val="22"/>
              </w:rPr>
              <w:t>d</w:t>
            </w:r>
            <w:r w:rsidRPr="00004B4E">
              <w:rPr>
                <w:rFonts w:ascii="Arial" w:hAnsi="Arial" w:cs="Arial"/>
                <w:sz w:val="22"/>
              </w:rPr>
              <w:t>e Queiroz Gomes Castro</w:t>
            </w:r>
          </w:p>
          <w:p w14:paraId="1B5696B7" w14:textId="77777777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B88ACA2" w14:textId="77777777"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14:paraId="055394FA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7286F14A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3DE3A61C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1684E52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9918AEF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F8BE949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1581761B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9CA275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E112244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5C7AA6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0D9F42A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478E27F" w14:textId="77777777" w:rsidR="002966BB" w:rsidRPr="0042032D" w:rsidRDefault="002966BB" w:rsidP="002966BB">
      <w:pPr>
        <w:pStyle w:val="PargrafodaLista"/>
        <w:suppressLineNumbers/>
        <w:tabs>
          <w:tab w:val="left" w:pos="0"/>
        </w:tabs>
        <w:autoSpaceDE w:val="0"/>
        <w:autoSpaceDN w:val="0"/>
        <w:spacing w:before="240"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966BB" w:rsidRPr="0042032D" w:rsidSect="00E65101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66F" w14:textId="77777777" w:rsidR="007763AF" w:rsidRDefault="007763AF">
      <w:r>
        <w:separator/>
      </w:r>
    </w:p>
  </w:endnote>
  <w:endnote w:type="continuationSeparator" w:id="0">
    <w:p w14:paraId="012C4043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4C58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36CAE20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D857943" w14:textId="74DB494F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58409F">
          <w:rPr>
            <w:rFonts w:ascii="Arial" w:hAnsi="Arial" w:cs="Arial"/>
            <w:noProof/>
            <w:sz w:val="18"/>
            <w:szCs w:val="18"/>
          </w:rPr>
          <w:t>7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742548">
          <w:rPr>
            <w:rFonts w:ascii="Arial" w:hAnsi="Arial" w:cs="Arial"/>
            <w:sz w:val="18"/>
            <w:szCs w:val="18"/>
          </w:rPr>
          <w:t>8</w:t>
        </w:r>
      </w:p>
    </w:sdtContent>
  </w:sdt>
  <w:p w14:paraId="0489F727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09EA" w14:textId="77777777" w:rsidR="007763AF" w:rsidRDefault="007763AF">
      <w:r>
        <w:separator/>
      </w:r>
    </w:p>
  </w:footnote>
  <w:footnote w:type="continuationSeparator" w:id="0">
    <w:p w14:paraId="234DE5D4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734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CF8247F" wp14:editId="369CF30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37" name="Imagem 3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E252E89" wp14:editId="33771E6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38" name="Imagem 3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1C93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BD72192" wp14:editId="33691C6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9" name="Imagem 3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80DF4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BB9"/>
    <w:multiLevelType w:val="hybridMultilevel"/>
    <w:tmpl w:val="A4F00F3E"/>
    <w:lvl w:ilvl="0" w:tplc="1FD473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53D41"/>
    <w:multiLevelType w:val="hybridMultilevel"/>
    <w:tmpl w:val="3CAAB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73EE"/>
    <w:multiLevelType w:val="hybridMultilevel"/>
    <w:tmpl w:val="1324C460"/>
    <w:lvl w:ilvl="0" w:tplc="B8F8A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E52DF"/>
    <w:multiLevelType w:val="hybridMultilevel"/>
    <w:tmpl w:val="B088C05E"/>
    <w:lvl w:ilvl="0" w:tplc="E4FEA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6126F"/>
    <w:multiLevelType w:val="hybridMultilevel"/>
    <w:tmpl w:val="A244B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3484B"/>
    <w:multiLevelType w:val="hybridMultilevel"/>
    <w:tmpl w:val="FF24AAEC"/>
    <w:lvl w:ilvl="0" w:tplc="F92A4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C2A56"/>
    <w:multiLevelType w:val="hybridMultilevel"/>
    <w:tmpl w:val="F59032D6"/>
    <w:lvl w:ilvl="0" w:tplc="0416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4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42C3D"/>
    <w:multiLevelType w:val="hybridMultilevel"/>
    <w:tmpl w:val="9CE44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7"/>
  </w:num>
  <w:num w:numId="4">
    <w:abstractNumId w:val="38"/>
  </w:num>
  <w:num w:numId="5">
    <w:abstractNumId w:val="28"/>
  </w:num>
  <w:num w:numId="6">
    <w:abstractNumId w:val="39"/>
  </w:num>
  <w:num w:numId="7">
    <w:abstractNumId w:val="12"/>
  </w:num>
  <w:num w:numId="8">
    <w:abstractNumId w:val="22"/>
  </w:num>
  <w:num w:numId="9">
    <w:abstractNumId w:val="43"/>
  </w:num>
  <w:num w:numId="10">
    <w:abstractNumId w:val="30"/>
  </w:num>
  <w:num w:numId="11">
    <w:abstractNumId w:val="10"/>
  </w:num>
  <w:num w:numId="12">
    <w:abstractNumId w:val="13"/>
  </w:num>
  <w:num w:numId="13">
    <w:abstractNumId w:val="26"/>
  </w:num>
  <w:num w:numId="14">
    <w:abstractNumId w:val="6"/>
  </w:num>
  <w:num w:numId="15">
    <w:abstractNumId w:val="5"/>
  </w:num>
  <w:num w:numId="16">
    <w:abstractNumId w:val="15"/>
  </w:num>
  <w:num w:numId="17">
    <w:abstractNumId w:val="4"/>
  </w:num>
  <w:num w:numId="18">
    <w:abstractNumId w:val="21"/>
  </w:num>
  <w:num w:numId="19">
    <w:abstractNumId w:val="20"/>
  </w:num>
  <w:num w:numId="20">
    <w:abstractNumId w:val="11"/>
  </w:num>
  <w:num w:numId="21">
    <w:abstractNumId w:val="9"/>
  </w:num>
  <w:num w:numId="22">
    <w:abstractNumId w:val="31"/>
  </w:num>
  <w:num w:numId="23">
    <w:abstractNumId w:val="29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"/>
  </w:num>
  <w:num w:numId="27">
    <w:abstractNumId w:val="37"/>
  </w:num>
  <w:num w:numId="28">
    <w:abstractNumId w:val="16"/>
  </w:num>
  <w:num w:numId="29">
    <w:abstractNumId w:val="18"/>
  </w:num>
  <w:num w:numId="30">
    <w:abstractNumId w:val="19"/>
  </w:num>
  <w:num w:numId="31">
    <w:abstractNumId w:val="25"/>
  </w:num>
  <w:num w:numId="32">
    <w:abstractNumId w:val="36"/>
  </w:num>
  <w:num w:numId="33">
    <w:abstractNumId w:val="24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7"/>
  </w:num>
  <w:num w:numId="37">
    <w:abstractNumId w:val="23"/>
  </w:num>
  <w:num w:numId="38">
    <w:abstractNumId w:val="14"/>
  </w:num>
  <w:num w:numId="39">
    <w:abstractNumId w:val="2"/>
  </w:num>
  <w:num w:numId="40">
    <w:abstractNumId w:val="33"/>
  </w:num>
  <w:num w:numId="41">
    <w:abstractNumId w:val="17"/>
  </w:num>
  <w:num w:numId="42">
    <w:abstractNumId w:val="3"/>
  </w:num>
  <w:num w:numId="43">
    <w:abstractNumId w:val="4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4B4E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18D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65"/>
    <w:rsid w:val="00043F3D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1D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25A07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76CA"/>
    <w:rsid w:val="00150B42"/>
    <w:rsid w:val="00152083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027"/>
    <w:rsid w:val="00166E59"/>
    <w:rsid w:val="00167D9C"/>
    <w:rsid w:val="00171EE3"/>
    <w:rsid w:val="001730CD"/>
    <w:rsid w:val="00173485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082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4BF"/>
    <w:rsid w:val="001C58D0"/>
    <w:rsid w:val="001C6C86"/>
    <w:rsid w:val="001C6CCB"/>
    <w:rsid w:val="001D1067"/>
    <w:rsid w:val="001D14B0"/>
    <w:rsid w:val="001D16BD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05D7"/>
    <w:rsid w:val="00260DDF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66BB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5E89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9CC"/>
    <w:rsid w:val="002F4E92"/>
    <w:rsid w:val="002F5A1F"/>
    <w:rsid w:val="002F6549"/>
    <w:rsid w:val="00300790"/>
    <w:rsid w:val="00300D24"/>
    <w:rsid w:val="00303F75"/>
    <w:rsid w:val="0030493F"/>
    <w:rsid w:val="00304CDC"/>
    <w:rsid w:val="00306085"/>
    <w:rsid w:val="003063C0"/>
    <w:rsid w:val="003076DE"/>
    <w:rsid w:val="0031165B"/>
    <w:rsid w:val="00312757"/>
    <w:rsid w:val="003140EC"/>
    <w:rsid w:val="00320313"/>
    <w:rsid w:val="003231ED"/>
    <w:rsid w:val="003233DA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05B7"/>
    <w:rsid w:val="00341B3A"/>
    <w:rsid w:val="003421F8"/>
    <w:rsid w:val="0034651D"/>
    <w:rsid w:val="003467A3"/>
    <w:rsid w:val="00346CAA"/>
    <w:rsid w:val="00346E4B"/>
    <w:rsid w:val="00347A60"/>
    <w:rsid w:val="00347BAA"/>
    <w:rsid w:val="00353C37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02F"/>
    <w:rsid w:val="00370656"/>
    <w:rsid w:val="00370F41"/>
    <w:rsid w:val="003727D1"/>
    <w:rsid w:val="00377071"/>
    <w:rsid w:val="00381F39"/>
    <w:rsid w:val="00383575"/>
    <w:rsid w:val="00386A40"/>
    <w:rsid w:val="00387BDD"/>
    <w:rsid w:val="003928EF"/>
    <w:rsid w:val="00392C7F"/>
    <w:rsid w:val="00393F41"/>
    <w:rsid w:val="0039522F"/>
    <w:rsid w:val="0039544A"/>
    <w:rsid w:val="003A0705"/>
    <w:rsid w:val="003A123C"/>
    <w:rsid w:val="003A3E54"/>
    <w:rsid w:val="003A4365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935"/>
    <w:rsid w:val="003B2C32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5B1"/>
    <w:rsid w:val="003E5E32"/>
    <w:rsid w:val="003E663E"/>
    <w:rsid w:val="003F0937"/>
    <w:rsid w:val="003F1D4B"/>
    <w:rsid w:val="003F2BFA"/>
    <w:rsid w:val="003F42C5"/>
    <w:rsid w:val="003F46A4"/>
    <w:rsid w:val="003F4CEA"/>
    <w:rsid w:val="003F6324"/>
    <w:rsid w:val="003F7216"/>
    <w:rsid w:val="003F726E"/>
    <w:rsid w:val="003F762D"/>
    <w:rsid w:val="00402A8E"/>
    <w:rsid w:val="00402D79"/>
    <w:rsid w:val="00407AE2"/>
    <w:rsid w:val="00411573"/>
    <w:rsid w:val="00412808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3D3"/>
    <w:rsid w:val="00436843"/>
    <w:rsid w:val="004374AA"/>
    <w:rsid w:val="00442214"/>
    <w:rsid w:val="00443CFD"/>
    <w:rsid w:val="004471F8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2DCF"/>
    <w:rsid w:val="00476081"/>
    <w:rsid w:val="00476A28"/>
    <w:rsid w:val="00481201"/>
    <w:rsid w:val="004839C6"/>
    <w:rsid w:val="00483B9A"/>
    <w:rsid w:val="004917E6"/>
    <w:rsid w:val="00491DAB"/>
    <w:rsid w:val="00495DD0"/>
    <w:rsid w:val="00496E11"/>
    <w:rsid w:val="004974AD"/>
    <w:rsid w:val="00497542"/>
    <w:rsid w:val="00497D66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462F"/>
    <w:rsid w:val="004D5219"/>
    <w:rsid w:val="004D529A"/>
    <w:rsid w:val="004D7079"/>
    <w:rsid w:val="004D753E"/>
    <w:rsid w:val="004E1213"/>
    <w:rsid w:val="004E1B13"/>
    <w:rsid w:val="004E336F"/>
    <w:rsid w:val="004E498A"/>
    <w:rsid w:val="004E4A99"/>
    <w:rsid w:val="004E58FE"/>
    <w:rsid w:val="004E683F"/>
    <w:rsid w:val="004E6CD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01C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AA4"/>
    <w:rsid w:val="00530C6D"/>
    <w:rsid w:val="005310A6"/>
    <w:rsid w:val="00531CA7"/>
    <w:rsid w:val="00533684"/>
    <w:rsid w:val="00533F1C"/>
    <w:rsid w:val="00534329"/>
    <w:rsid w:val="00536178"/>
    <w:rsid w:val="00536609"/>
    <w:rsid w:val="005442C9"/>
    <w:rsid w:val="0054534F"/>
    <w:rsid w:val="00545A28"/>
    <w:rsid w:val="00546774"/>
    <w:rsid w:val="005469BD"/>
    <w:rsid w:val="00547053"/>
    <w:rsid w:val="00547BBD"/>
    <w:rsid w:val="00547E31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6CB"/>
    <w:rsid w:val="00582C74"/>
    <w:rsid w:val="00582C8C"/>
    <w:rsid w:val="00583916"/>
    <w:rsid w:val="00583BA0"/>
    <w:rsid w:val="0058409F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019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701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5F59B1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274CA"/>
    <w:rsid w:val="00630470"/>
    <w:rsid w:val="00630532"/>
    <w:rsid w:val="0063086E"/>
    <w:rsid w:val="00631047"/>
    <w:rsid w:val="0063124F"/>
    <w:rsid w:val="00631DA2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1EB6"/>
    <w:rsid w:val="006B3E0F"/>
    <w:rsid w:val="006B4A2A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260B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34F97"/>
    <w:rsid w:val="00740BE4"/>
    <w:rsid w:val="00742548"/>
    <w:rsid w:val="00743108"/>
    <w:rsid w:val="00744527"/>
    <w:rsid w:val="00744929"/>
    <w:rsid w:val="0074774B"/>
    <w:rsid w:val="00747C6A"/>
    <w:rsid w:val="00754248"/>
    <w:rsid w:val="00754607"/>
    <w:rsid w:val="00754C25"/>
    <w:rsid w:val="00754C32"/>
    <w:rsid w:val="00755303"/>
    <w:rsid w:val="0075615A"/>
    <w:rsid w:val="0075656E"/>
    <w:rsid w:val="00757581"/>
    <w:rsid w:val="00757946"/>
    <w:rsid w:val="00760E8E"/>
    <w:rsid w:val="00761586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6557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008"/>
    <w:rsid w:val="007B6480"/>
    <w:rsid w:val="007B735D"/>
    <w:rsid w:val="007C26C2"/>
    <w:rsid w:val="007C4464"/>
    <w:rsid w:val="007C5EF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6E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35EA6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57B1"/>
    <w:rsid w:val="00856A96"/>
    <w:rsid w:val="008571C7"/>
    <w:rsid w:val="008610CB"/>
    <w:rsid w:val="00862352"/>
    <w:rsid w:val="00862FC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9E0"/>
    <w:rsid w:val="00891AB9"/>
    <w:rsid w:val="00891FEE"/>
    <w:rsid w:val="0089429D"/>
    <w:rsid w:val="00895B19"/>
    <w:rsid w:val="008A0A15"/>
    <w:rsid w:val="008A0D05"/>
    <w:rsid w:val="008A2E1E"/>
    <w:rsid w:val="008A4D49"/>
    <w:rsid w:val="008A4EDB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E91"/>
    <w:rsid w:val="008C2F09"/>
    <w:rsid w:val="008D0CB9"/>
    <w:rsid w:val="008D2851"/>
    <w:rsid w:val="008D2F87"/>
    <w:rsid w:val="008D37B9"/>
    <w:rsid w:val="008D4EBA"/>
    <w:rsid w:val="008D6511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7487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37A7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6AE4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31C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6AD5"/>
    <w:rsid w:val="009C7A6E"/>
    <w:rsid w:val="009C7F4E"/>
    <w:rsid w:val="009D0421"/>
    <w:rsid w:val="009D2D92"/>
    <w:rsid w:val="009D306A"/>
    <w:rsid w:val="009D3702"/>
    <w:rsid w:val="009D38F5"/>
    <w:rsid w:val="009D42DE"/>
    <w:rsid w:val="009D5884"/>
    <w:rsid w:val="009D6519"/>
    <w:rsid w:val="009D6D0E"/>
    <w:rsid w:val="009E273F"/>
    <w:rsid w:val="009E2DA2"/>
    <w:rsid w:val="009E4BFB"/>
    <w:rsid w:val="009E5A73"/>
    <w:rsid w:val="009E5D4C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0E9C"/>
    <w:rsid w:val="00A119A5"/>
    <w:rsid w:val="00A11A0A"/>
    <w:rsid w:val="00A11D0D"/>
    <w:rsid w:val="00A132C1"/>
    <w:rsid w:val="00A16C10"/>
    <w:rsid w:val="00A23136"/>
    <w:rsid w:val="00A233E6"/>
    <w:rsid w:val="00A25107"/>
    <w:rsid w:val="00A25E43"/>
    <w:rsid w:val="00A26866"/>
    <w:rsid w:val="00A26A4F"/>
    <w:rsid w:val="00A278B9"/>
    <w:rsid w:val="00A279B6"/>
    <w:rsid w:val="00A30A2A"/>
    <w:rsid w:val="00A31F2B"/>
    <w:rsid w:val="00A32CB6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5664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774C4"/>
    <w:rsid w:val="00A80FDA"/>
    <w:rsid w:val="00A812B2"/>
    <w:rsid w:val="00A833ED"/>
    <w:rsid w:val="00A848C6"/>
    <w:rsid w:val="00A854BC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5A5A"/>
    <w:rsid w:val="00B065BF"/>
    <w:rsid w:val="00B0685B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2D23"/>
    <w:rsid w:val="00B4308D"/>
    <w:rsid w:val="00B45626"/>
    <w:rsid w:val="00B47018"/>
    <w:rsid w:val="00B511C4"/>
    <w:rsid w:val="00B517EC"/>
    <w:rsid w:val="00B5181A"/>
    <w:rsid w:val="00B51E4D"/>
    <w:rsid w:val="00B52AAA"/>
    <w:rsid w:val="00B52DE2"/>
    <w:rsid w:val="00B53D04"/>
    <w:rsid w:val="00B5412C"/>
    <w:rsid w:val="00B5623C"/>
    <w:rsid w:val="00B570CD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157F"/>
    <w:rsid w:val="00B82956"/>
    <w:rsid w:val="00B86D94"/>
    <w:rsid w:val="00B86F01"/>
    <w:rsid w:val="00B879F4"/>
    <w:rsid w:val="00B909DF"/>
    <w:rsid w:val="00B913C5"/>
    <w:rsid w:val="00B92E67"/>
    <w:rsid w:val="00B93F58"/>
    <w:rsid w:val="00B94AA3"/>
    <w:rsid w:val="00BA2EBA"/>
    <w:rsid w:val="00BA4F5B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1CB0"/>
    <w:rsid w:val="00BD2BCE"/>
    <w:rsid w:val="00BD32E4"/>
    <w:rsid w:val="00BD36F5"/>
    <w:rsid w:val="00BD3E80"/>
    <w:rsid w:val="00BD49D9"/>
    <w:rsid w:val="00BD49DC"/>
    <w:rsid w:val="00BD621D"/>
    <w:rsid w:val="00BD6327"/>
    <w:rsid w:val="00BD649D"/>
    <w:rsid w:val="00BE03E2"/>
    <w:rsid w:val="00BE1181"/>
    <w:rsid w:val="00BE14D7"/>
    <w:rsid w:val="00BE32C2"/>
    <w:rsid w:val="00BE399B"/>
    <w:rsid w:val="00BE4607"/>
    <w:rsid w:val="00BE535C"/>
    <w:rsid w:val="00BE6185"/>
    <w:rsid w:val="00BE668B"/>
    <w:rsid w:val="00BE6FA6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4600"/>
    <w:rsid w:val="00C25AA7"/>
    <w:rsid w:val="00C25B9B"/>
    <w:rsid w:val="00C2660A"/>
    <w:rsid w:val="00C3042F"/>
    <w:rsid w:val="00C309BA"/>
    <w:rsid w:val="00C33F46"/>
    <w:rsid w:val="00C341AA"/>
    <w:rsid w:val="00C3554D"/>
    <w:rsid w:val="00C360E9"/>
    <w:rsid w:val="00C374E5"/>
    <w:rsid w:val="00C37566"/>
    <w:rsid w:val="00C3776A"/>
    <w:rsid w:val="00C413FB"/>
    <w:rsid w:val="00C418A4"/>
    <w:rsid w:val="00C41987"/>
    <w:rsid w:val="00C41F5E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B8"/>
    <w:rsid w:val="00C808DF"/>
    <w:rsid w:val="00C81DA2"/>
    <w:rsid w:val="00C82620"/>
    <w:rsid w:val="00C84BA0"/>
    <w:rsid w:val="00C84FDC"/>
    <w:rsid w:val="00C85B99"/>
    <w:rsid w:val="00C8762F"/>
    <w:rsid w:val="00C87D83"/>
    <w:rsid w:val="00C91528"/>
    <w:rsid w:val="00C94A6D"/>
    <w:rsid w:val="00C95426"/>
    <w:rsid w:val="00C95C5E"/>
    <w:rsid w:val="00C9623B"/>
    <w:rsid w:val="00C9643E"/>
    <w:rsid w:val="00C96663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B641C"/>
    <w:rsid w:val="00CC0076"/>
    <w:rsid w:val="00CC2F3C"/>
    <w:rsid w:val="00CC37CF"/>
    <w:rsid w:val="00CC3B82"/>
    <w:rsid w:val="00CC4AE0"/>
    <w:rsid w:val="00CC6685"/>
    <w:rsid w:val="00CC6DA0"/>
    <w:rsid w:val="00CD41C7"/>
    <w:rsid w:val="00CD72EB"/>
    <w:rsid w:val="00CE0917"/>
    <w:rsid w:val="00CE1487"/>
    <w:rsid w:val="00CE1E6A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9EB"/>
    <w:rsid w:val="00D233CD"/>
    <w:rsid w:val="00D242DA"/>
    <w:rsid w:val="00D25019"/>
    <w:rsid w:val="00D25265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81F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7A1"/>
    <w:rsid w:val="00D80AA3"/>
    <w:rsid w:val="00D80C22"/>
    <w:rsid w:val="00D8262A"/>
    <w:rsid w:val="00D838C0"/>
    <w:rsid w:val="00D84960"/>
    <w:rsid w:val="00D87040"/>
    <w:rsid w:val="00D87ADE"/>
    <w:rsid w:val="00D91CFE"/>
    <w:rsid w:val="00D928C1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4732"/>
    <w:rsid w:val="00DB5C17"/>
    <w:rsid w:val="00DB67EF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60EE"/>
    <w:rsid w:val="00DE0285"/>
    <w:rsid w:val="00DE02AE"/>
    <w:rsid w:val="00DE1969"/>
    <w:rsid w:val="00DE23EE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37C10"/>
    <w:rsid w:val="00E415B3"/>
    <w:rsid w:val="00E4241A"/>
    <w:rsid w:val="00E47E5F"/>
    <w:rsid w:val="00E50F29"/>
    <w:rsid w:val="00E51A28"/>
    <w:rsid w:val="00E52752"/>
    <w:rsid w:val="00E53AA6"/>
    <w:rsid w:val="00E53CA8"/>
    <w:rsid w:val="00E54886"/>
    <w:rsid w:val="00E555E8"/>
    <w:rsid w:val="00E5582A"/>
    <w:rsid w:val="00E5642E"/>
    <w:rsid w:val="00E56574"/>
    <w:rsid w:val="00E60F01"/>
    <w:rsid w:val="00E62383"/>
    <w:rsid w:val="00E625A5"/>
    <w:rsid w:val="00E63C97"/>
    <w:rsid w:val="00E65101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7DE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909"/>
    <w:rsid w:val="00EA7C5C"/>
    <w:rsid w:val="00EB02BD"/>
    <w:rsid w:val="00EB266F"/>
    <w:rsid w:val="00EB4FA9"/>
    <w:rsid w:val="00EB4FCE"/>
    <w:rsid w:val="00EB5E6F"/>
    <w:rsid w:val="00EB7639"/>
    <w:rsid w:val="00EC0FD2"/>
    <w:rsid w:val="00EC175A"/>
    <w:rsid w:val="00EC352F"/>
    <w:rsid w:val="00EC593B"/>
    <w:rsid w:val="00EC5E83"/>
    <w:rsid w:val="00EC6E71"/>
    <w:rsid w:val="00ED0BFB"/>
    <w:rsid w:val="00ED0E8A"/>
    <w:rsid w:val="00ED1833"/>
    <w:rsid w:val="00ED3D4A"/>
    <w:rsid w:val="00ED604F"/>
    <w:rsid w:val="00EE1B6C"/>
    <w:rsid w:val="00EE20B7"/>
    <w:rsid w:val="00EE30AC"/>
    <w:rsid w:val="00EE3521"/>
    <w:rsid w:val="00EE5AB8"/>
    <w:rsid w:val="00EE6491"/>
    <w:rsid w:val="00EE759F"/>
    <w:rsid w:val="00EF0697"/>
    <w:rsid w:val="00EF3DDF"/>
    <w:rsid w:val="00EF526D"/>
    <w:rsid w:val="00EF6A93"/>
    <w:rsid w:val="00EF6C1C"/>
    <w:rsid w:val="00F0177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6F6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469B6"/>
    <w:rsid w:val="00F47E8C"/>
    <w:rsid w:val="00F503C3"/>
    <w:rsid w:val="00F5119C"/>
    <w:rsid w:val="00F51D72"/>
    <w:rsid w:val="00F52F40"/>
    <w:rsid w:val="00F53359"/>
    <w:rsid w:val="00F551CC"/>
    <w:rsid w:val="00F57495"/>
    <w:rsid w:val="00F608EA"/>
    <w:rsid w:val="00F6131D"/>
    <w:rsid w:val="00F628AE"/>
    <w:rsid w:val="00F630B6"/>
    <w:rsid w:val="00F63BD9"/>
    <w:rsid w:val="00F63FDE"/>
    <w:rsid w:val="00F65C7B"/>
    <w:rsid w:val="00F66607"/>
    <w:rsid w:val="00F67D8B"/>
    <w:rsid w:val="00F70831"/>
    <w:rsid w:val="00F7087D"/>
    <w:rsid w:val="00F726C6"/>
    <w:rsid w:val="00F7562A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5AFB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363B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4BBAE7A3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4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4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wdyuqq">
    <w:name w:val="wdyuqq"/>
    <w:basedOn w:val="Fontepargpadro"/>
    <w:rsid w:val="00D91CFE"/>
  </w:style>
  <w:style w:type="paragraph" w:styleId="Commarcadores">
    <w:name w:val="List Bullet"/>
    <w:basedOn w:val="Normal"/>
    <w:uiPriority w:val="99"/>
    <w:unhideWhenUsed/>
    <w:rsid w:val="00C808B8"/>
    <w:pPr>
      <w:numPr>
        <w:numId w:val="44"/>
      </w:numPr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6B4A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4A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9FA5-D543-4904-B6D8-C39B0A01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8</Pages>
  <Words>2232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110</cp:revision>
  <cp:lastPrinted>2024-12-04T18:50:00Z</cp:lastPrinted>
  <dcterms:created xsi:type="dcterms:W3CDTF">2022-03-22T15:55:00Z</dcterms:created>
  <dcterms:modified xsi:type="dcterms:W3CDTF">2024-12-04T18:50:00Z</dcterms:modified>
</cp:coreProperties>
</file>